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1318E" w14:textId="77777777" w:rsidR="00C63231" w:rsidRPr="000B470B" w:rsidRDefault="00000000" w:rsidP="000B470B">
      <w:pPr>
        <w:jc w:val="center"/>
        <w:rPr>
          <w:rFonts w:ascii="Amasis MT Pro" w:hAnsi="Amasis MT Pro"/>
          <w:sz w:val="28"/>
          <w:szCs w:val="28"/>
        </w:rPr>
      </w:pPr>
      <w:r w:rsidRPr="000B470B">
        <w:rPr>
          <w:rFonts w:ascii="Amasis MT Pro" w:hAnsi="Amasis MT Pro"/>
          <w:b/>
          <w:sz w:val="28"/>
          <w:szCs w:val="28"/>
        </w:rPr>
        <w:t>SUPERSTORE BUSINESS ANALYSIS REPORT</w:t>
      </w:r>
    </w:p>
    <w:p w14:paraId="3EA6EEA6" w14:textId="77777777" w:rsidR="00C63231" w:rsidRPr="000B470B" w:rsidRDefault="00000000" w:rsidP="000B470B">
      <w:pPr>
        <w:jc w:val="center"/>
        <w:rPr>
          <w:rFonts w:ascii="Amasis MT Pro" w:hAnsi="Amasis MT Pro"/>
          <w:sz w:val="28"/>
          <w:szCs w:val="28"/>
        </w:rPr>
      </w:pPr>
      <w:r w:rsidRPr="000B470B">
        <w:rPr>
          <w:rFonts w:ascii="Amasis MT Pro" w:hAnsi="Amasis MT Pro"/>
          <w:i/>
          <w:sz w:val="28"/>
          <w:szCs w:val="28"/>
        </w:rPr>
        <w:t>Sales • Profitability • Products • Returns • Discount Strategy</w:t>
      </w:r>
    </w:p>
    <w:p w14:paraId="251E3CE2" w14:textId="77777777" w:rsidR="00C63231" w:rsidRPr="000B470B" w:rsidRDefault="00000000" w:rsidP="000B470B">
      <w:pPr>
        <w:jc w:val="center"/>
        <w:rPr>
          <w:rFonts w:ascii="Amasis MT Pro" w:hAnsi="Amasis MT Pro"/>
          <w:sz w:val="28"/>
          <w:szCs w:val="28"/>
        </w:rPr>
      </w:pPr>
      <w:r w:rsidRPr="000B470B">
        <w:rPr>
          <w:rFonts w:ascii="Amasis MT Pro" w:hAnsi="Amasis MT Pro"/>
          <w:sz w:val="28"/>
          <w:szCs w:val="28"/>
        </w:rPr>
        <w:t>Analysis period: 2014–2017 | Source workbook: Data Analysis.xlsx</w:t>
      </w:r>
    </w:p>
    <w:p w14:paraId="14127721" w14:textId="77777777" w:rsidR="00C63231" w:rsidRPr="000B470B" w:rsidRDefault="00000000" w:rsidP="000B470B">
      <w:pPr>
        <w:pStyle w:val="Heading1"/>
        <w:spacing w:before="240"/>
        <w:rPr>
          <w:rFonts w:ascii="Amasis MT Pro" w:hAnsi="Amasis MT Pro"/>
          <w:sz w:val="24"/>
          <w:szCs w:val="24"/>
        </w:rPr>
      </w:pPr>
      <w:r w:rsidRPr="000B470B">
        <w:rPr>
          <w:rFonts w:ascii="Amasis MT Pro" w:hAnsi="Amasis MT Pro"/>
          <w:sz w:val="24"/>
          <w:szCs w:val="24"/>
        </w:rPr>
        <w:t>1. Executive Summary</w:t>
      </w:r>
    </w:p>
    <w:p w14:paraId="2370FC57"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The analysis shows a business with strong long-term sales growth, but with significant profitability differences across categories, regions, products, and discount levels. Sales increased from approximately $484K in 2014 to $733K in 2017. However, Furniture generated nearly $742K in sales while producing only $18.5K profit, and high-discount transactions were strongly associated with negative profit in this dataset.</w:t>
      </w:r>
    </w:p>
    <w:p w14:paraId="408D56CB" w14:textId="77777777" w:rsidR="00C63231" w:rsidRPr="000B470B" w:rsidRDefault="00000000" w:rsidP="000B470B">
      <w:pPr>
        <w:pStyle w:val="Heading1"/>
        <w:spacing w:before="240"/>
        <w:rPr>
          <w:rFonts w:ascii="Amasis MT Pro" w:hAnsi="Amasis MT Pro"/>
          <w:sz w:val="24"/>
          <w:szCs w:val="24"/>
        </w:rPr>
      </w:pPr>
      <w:r w:rsidRPr="000B470B">
        <w:rPr>
          <w:rFonts w:ascii="Amasis MT Pro" w:hAnsi="Amasis MT Pro"/>
          <w:sz w:val="24"/>
          <w:szCs w:val="24"/>
        </w:rPr>
        <w:t>2. KPI Snapshot</w:t>
      </w:r>
    </w:p>
    <w:tbl>
      <w:tblPr>
        <w:tblStyle w:val="TableGrid"/>
        <w:tblW w:w="0" w:type="auto"/>
        <w:jc w:val="center"/>
        <w:tblLook w:val="04A0" w:firstRow="1" w:lastRow="0" w:firstColumn="1" w:lastColumn="0" w:noHBand="0" w:noVBand="1"/>
      </w:tblPr>
      <w:tblGrid>
        <w:gridCol w:w="4535"/>
        <w:gridCol w:w="3022"/>
      </w:tblGrid>
      <w:tr w:rsidR="00C63231" w:rsidRPr="000B470B" w14:paraId="0DE4661F" w14:textId="77777777" w:rsidTr="000B470B">
        <w:trPr>
          <w:trHeight w:val="393"/>
          <w:jc w:val="center"/>
        </w:trPr>
        <w:tc>
          <w:tcPr>
            <w:tcW w:w="4535" w:type="dxa"/>
            <w:shd w:val="clear" w:color="auto" w:fill="D9EAD3"/>
            <w:vAlign w:val="center"/>
          </w:tcPr>
          <w:p w14:paraId="094784A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KPI</w:t>
            </w:r>
          </w:p>
        </w:tc>
        <w:tc>
          <w:tcPr>
            <w:tcW w:w="3022" w:type="dxa"/>
            <w:shd w:val="clear" w:color="auto" w:fill="D9EAD3"/>
            <w:vAlign w:val="center"/>
          </w:tcPr>
          <w:p w14:paraId="17B8215B"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Value</w:t>
            </w:r>
          </w:p>
        </w:tc>
      </w:tr>
      <w:tr w:rsidR="00C63231" w:rsidRPr="000B470B" w14:paraId="74BE978F" w14:textId="77777777" w:rsidTr="000B470B">
        <w:trPr>
          <w:trHeight w:val="401"/>
          <w:jc w:val="center"/>
        </w:trPr>
        <w:tc>
          <w:tcPr>
            <w:tcW w:w="4535" w:type="dxa"/>
            <w:vAlign w:val="center"/>
          </w:tcPr>
          <w:p w14:paraId="0E2E605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Total Sales</w:t>
            </w:r>
          </w:p>
        </w:tc>
        <w:tc>
          <w:tcPr>
            <w:tcW w:w="3022" w:type="dxa"/>
            <w:vAlign w:val="center"/>
          </w:tcPr>
          <w:p w14:paraId="2433DD54"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$2,297,201</w:t>
            </w:r>
          </w:p>
        </w:tc>
      </w:tr>
      <w:tr w:rsidR="00C63231" w:rsidRPr="000B470B" w14:paraId="594886CD" w14:textId="77777777" w:rsidTr="000B470B">
        <w:trPr>
          <w:trHeight w:val="393"/>
          <w:jc w:val="center"/>
        </w:trPr>
        <w:tc>
          <w:tcPr>
            <w:tcW w:w="4535" w:type="dxa"/>
            <w:vAlign w:val="center"/>
          </w:tcPr>
          <w:p w14:paraId="4EC9440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Total Profit</w:t>
            </w:r>
          </w:p>
        </w:tc>
        <w:tc>
          <w:tcPr>
            <w:tcW w:w="3022" w:type="dxa"/>
            <w:vAlign w:val="center"/>
          </w:tcPr>
          <w:p w14:paraId="1A44B7B6"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$286,397</w:t>
            </w:r>
          </w:p>
        </w:tc>
      </w:tr>
      <w:tr w:rsidR="00C63231" w:rsidRPr="000B470B" w14:paraId="0A6663D8" w14:textId="77777777" w:rsidTr="000B470B">
        <w:trPr>
          <w:trHeight w:val="401"/>
          <w:jc w:val="center"/>
        </w:trPr>
        <w:tc>
          <w:tcPr>
            <w:tcW w:w="4535" w:type="dxa"/>
            <w:vAlign w:val="center"/>
          </w:tcPr>
          <w:p w14:paraId="4E683D7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Profit Margin</w:t>
            </w:r>
          </w:p>
        </w:tc>
        <w:tc>
          <w:tcPr>
            <w:tcW w:w="3022" w:type="dxa"/>
            <w:vAlign w:val="center"/>
          </w:tcPr>
          <w:p w14:paraId="100AD3A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12.47%</w:t>
            </w:r>
          </w:p>
        </w:tc>
      </w:tr>
      <w:tr w:rsidR="00C63231" w:rsidRPr="000B470B" w14:paraId="4A4C509F" w14:textId="77777777" w:rsidTr="000B470B">
        <w:trPr>
          <w:trHeight w:val="393"/>
          <w:jc w:val="center"/>
        </w:trPr>
        <w:tc>
          <w:tcPr>
            <w:tcW w:w="4535" w:type="dxa"/>
            <w:vAlign w:val="center"/>
          </w:tcPr>
          <w:p w14:paraId="15111576"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Total Orders</w:t>
            </w:r>
          </w:p>
        </w:tc>
        <w:tc>
          <w:tcPr>
            <w:tcW w:w="3022" w:type="dxa"/>
            <w:vAlign w:val="center"/>
          </w:tcPr>
          <w:p w14:paraId="4B7107F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5,009</w:t>
            </w:r>
          </w:p>
        </w:tc>
      </w:tr>
      <w:tr w:rsidR="00C63231" w:rsidRPr="000B470B" w14:paraId="21E49A92" w14:textId="77777777" w:rsidTr="000B470B">
        <w:trPr>
          <w:trHeight w:val="401"/>
          <w:jc w:val="center"/>
        </w:trPr>
        <w:tc>
          <w:tcPr>
            <w:tcW w:w="4535" w:type="dxa"/>
            <w:vAlign w:val="center"/>
          </w:tcPr>
          <w:p w14:paraId="6CBDCA30"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Total Customers</w:t>
            </w:r>
          </w:p>
        </w:tc>
        <w:tc>
          <w:tcPr>
            <w:tcW w:w="3022" w:type="dxa"/>
            <w:vAlign w:val="center"/>
          </w:tcPr>
          <w:p w14:paraId="480278E4"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793</w:t>
            </w:r>
          </w:p>
        </w:tc>
      </w:tr>
      <w:tr w:rsidR="00C63231" w:rsidRPr="000B470B" w14:paraId="62A21D43" w14:textId="77777777" w:rsidTr="000B470B">
        <w:trPr>
          <w:trHeight w:val="393"/>
          <w:jc w:val="center"/>
        </w:trPr>
        <w:tc>
          <w:tcPr>
            <w:tcW w:w="4535" w:type="dxa"/>
            <w:vAlign w:val="center"/>
          </w:tcPr>
          <w:p w14:paraId="5A0AA16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Total Products</w:t>
            </w:r>
          </w:p>
        </w:tc>
        <w:tc>
          <w:tcPr>
            <w:tcW w:w="3022" w:type="dxa"/>
            <w:vAlign w:val="center"/>
          </w:tcPr>
          <w:p w14:paraId="64DF3932"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1,862</w:t>
            </w:r>
          </w:p>
        </w:tc>
      </w:tr>
      <w:tr w:rsidR="00C63231" w:rsidRPr="000B470B" w14:paraId="6D03409E" w14:textId="77777777" w:rsidTr="000B470B">
        <w:trPr>
          <w:trHeight w:val="393"/>
          <w:jc w:val="center"/>
        </w:trPr>
        <w:tc>
          <w:tcPr>
            <w:tcW w:w="4535" w:type="dxa"/>
            <w:vAlign w:val="center"/>
          </w:tcPr>
          <w:p w14:paraId="004974F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Total Quantity</w:t>
            </w:r>
          </w:p>
        </w:tc>
        <w:tc>
          <w:tcPr>
            <w:tcW w:w="3022" w:type="dxa"/>
            <w:vAlign w:val="center"/>
          </w:tcPr>
          <w:p w14:paraId="1D1941E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37,873</w:t>
            </w:r>
          </w:p>
        </w:tc>
      </w:tr>
      <w:tr w:rsidR="00C63231" w:rsidRPr="000B470B" w14:paraId="0F2269DF" w14:textId="77777777" w:rsidTr="000B470B">
        <w:trPr>
          <w:trHeight w:val="401"/>
          <w:jc w:val="center"/>
        </w:trPr>
        <w:tc>
          <w:tcPr>
            <w:tcW w:w="4535" w:type="dxa"/>
            <w:vAlign w:val="center"/>
          </w:tcPr>
          <w:p w14:paraId="30D2F0F9"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Average Order Value</w:t>
            </w:r>
          </w:p>
        </w:tc>
        <w:tc>
          <w:tcPr>
            <w:tcW w:w="3022" w:type="dxa"/>
            <w:vAlign w:val="center"/>
          </w:tcPr>
          <w:p w14:paraId="277358C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$458.61</w:t>
            </w:r>
          </w:p>
        </w:tc>
      </w:tr>
      <w:tr w:rsidR="00C63231" w:rsidRPr="000B470B" w14:paraId="49C4C75D" w14:textId="77777777" w:rsidTr="000B470B">
        <w:trPr>
          <w:trHeight w:val="393"/>
          <w:jc w:val="center"/>
        </w:trPr>
        <w:tc>
          <w:tcPr>
            <w:tcW w:w="4535" w:type="dxa"/>
            <w:vAlign w:val="center"/>
          </w:tcPr>
          <w:p w14:paraId="364448BC"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Average Discount</w:t>
            </w:r>
          </w:p>
        </w:tc>
        <w:tc>
          <w:tcPr>
            <w:tcW w:w="3022" w:type="dxa"/>
            <w:vAlign w:val="center"/>
          </w:tcPr>
          <w:p w14:paraId="74A71B0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15.62%</w:t>
            </w:r>
          </w:p>
        </w:tc>
      </w:tr>
      <w:tr w:rsidR="00C63231" w:rsidRPr="000B470B" w14:paraId="1250F112" w14:textId="77777777" w:rsidTr="000B470B">
        <w:trPr>
          <w:trHeight w:val="401"/>
          <w:jc w:val="center"/>
        </w:trPr>
        <w:tc>
          <w:tcPr>
            <w:tcW w:w="4535" w:type="dxa"/>
            <w:vAlign w:val="center"/>
          </w:tcPr>
          <w:p w14:paraId="1D212350"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Returned Orders</w:t>
            </w:r>
          </w:p>
        </w:tc>
        <w:tc>
          <w:tcPr>
            <w:tcW w:w="3022" w:type="dxa"/>
            <w:vAlign w:val="center"/>
          </w:tcPr>
          <w:p w14:paraId="1B547674"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296</w:t>
            </w:r>
          </w:p>
        </w:tc>
      </w:tr>
      <w:tr w:rsidR="00C63231" w:rsidRPr="000B470B" w14:paraId="332CC6CB" w14:textId="77777777" w:rsidTr="000B470B">
        <w:trPr>
          <w:trHeight w:val="393"/>
          <w:jc w:val="center"/>
        </w:trPr>
        <w:tc>
          <w:tcPr>
            <w:tcW w:w="4535" w:type="dxa"/>
            <w:vAlign w:val="center"/>
          </w:tcPr>
          <w:p w14:paraId="463D0A78"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Return Rate</w:t>
            </w:r>
          </w:p>
        </w:tc>
        <w:tc>
          <w:tcPr>
            <w:tcW w:w="3022" w:type="dxa"/>
            <w:vAlign w:val="center"/>
          </w:tcPr>
          <w:p w14:paraId="2EC769A6"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5.91%</w:t>
            </w:r>
          </w:p>
        </w:tc>
      </w:tr>
    </w:tbl>
    <w:p w14:paraId="57D32A25" w14:textId="77777777" w:rsidR="00C63231" w:rsidRPr="000B470B" w:rsidRDefault="00000000" w:rsidP="000B470B">
      <w:pPr>
        <w:pStyle w:val="Heading1"/>
        <w:rPr>
          <w:rFonts w:ascii="Amasis MT Pro" w:hAnsi="Amasis MT Pro"/>
          <w:sz w:val="24"/>
          <w:szCs w:val="24"/>
        </w:rPr>
      </w:pPr>
      <w:r w:rsidRPr="000B470B">
        <w:rPr>
          <w:rFonts w:ascii="Amasis MT Pro" w:hAnsi="Amasis MT Pro"/>
          <w:sz w:val="24"/>
          <w:szCs w:val="24"/>
        </w:rPr>
        <w:t>3. Sales Growth &amp; Trend</w:t>
      </w:r>
    </w:p>
    <w:tbl>
      <w:tblPr>
        <w:tblStyle w:val="TableGrid"/>
        <w:tblW w:w="0" w:type="auto"/>
        <w:jc w:val="center"/>
        <w:tblLook w:val="04A0" w:firstRow="1" w:lastRow="0" w:firstColumn="1" w:lastColumn="0" w:noHBand="0" w:noVBand="1"/>
      </w:tblPr>
      <w:tblGrid>
        <w:gridCol w:w="1728"/>
        <w:gridCol w:w="2592"/>
        <w:gridCol w:w="2592"/>
        <w:gridCol w:w="2016"/>
      </w:tblGrid>
      <w:tr w:rsidR="00C63231" w:rsidRPr="000B470B" w14:paraId="4963F0BC" w14:textId="77777777">
        <w:trPr>
          <w:jc w:val="center"/>
        </w:trPr>
        <w:tc>
          <w:tcPr>
            <w:tcW w:w="1728" w:type="dxa"/>
            <w:shd w:val="clear" w:color="auto" w:fill="D9EAD3"/>
            <w:vAlign w:val="center"/>
          </w:tcPr>
          <w:p w14:paraId="5B04A37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Year</w:t>
            </w:r>
          </w:p>
        </w:tc>
        <w:tc>
          <w:tcPr>
            <w:tcW w:w="2592" w:type="dxa"/>
            <w:shd w:val="clear" w:color="auto" w:fill="D9EAD3"/>
            <w:vAlign w:val="center"/>
          </w:tcPr>
          <w:p w14:paraId="5BFFAD6C"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Sales</w:t>
            </w:r>
          </w:p>
        </w:tc>
        <w:tc>
          <w:tcPr>
            <w:tcW w:w="2592" w:type="dxa"/>
            <w:shd w:val="clear" w:color="auto" w:fill="D9EAD3"/>
            <w:vAlign w:val="center"/>
          </w:tcPr>
          <w:p w14:paraId="7AACF3F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Profit</w:t>
            </w:r>
          </w:p>
        </w:tc>
        <w:tc>
          <w:tcPr>
            <w:tcW w:w="2016" w:type="dxa"/>
            <w:shd w:val="clear" w:color="auto" w:fill="D9EAD3"/>
            <w:vAlign w:val="center"/>
          </w:tcPr>
          <w:p w14:paraId="5818C5A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Margin</w:t>
            </w:r>
          </w:p>
        </w:tc>
      </w:tr>
      <w:tr w:rsidR="00C63231" w:rsidRPr="000B470B" w14:paraId="346B4992" w14:textId="77777777">
        <w:trPr>
          <w:jc w:val="center"/>
        </w:trPr>
        <w:tc>
          <w:tcPr>
            <w:tcW w:w="1728" w:type="dxa"/>
            <w:vAlign w:val="center"/>
          </w:tcPr>
          <w:p w14:paraId="1A173E4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2014</w:t>
            </w:r>
          </w:p>
        </w:tc>
        <w:tc>
          <w:tcPr>
            <w:tcW w:w="2592" w:type="dxa"/>
            <w:vAlign w:val="center"/>
          </w:tcPr>
          <w:p w14:paraId="08BE004B"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$484,247</w:t>
            </w:r>
          </w:p>
        </w:tc>
        <w:tc>
          <w:tcPr>
            <w:tcW w:w="2592" w:type="dxa"/>
            <w:vAlign w:val="center"/>
          </w:tcPr>
          <w:p w14:paraId="7C1DFB6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$49,544</w:t>
            </w:r>
          </w:p>
        </w:tc>
        <w:tc>
          <w:tcPr>
            <w:tcW w:w="2016" w:type="dxa"/>
            <w:vAlign w:val="center"/>
          </w:tcPr>
          <w:p w14:paraId="2543C86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10.23%</w:t>
            </w:r>
          </w:p>
        </w:tc>
      </w:tr>
      <w:tr w:rsidR="00C63231" w:rsidRPr="000B470B" w14:paraId="795B9E3B" w14:textId="77777777">
        <w:trPr>
          <w:jc w:val="center"/>
        </w:trPr>
        <w:tc>
          <w:tcPr>
            <w:tcW w:w="1728" w:type="dxa"/>
            <w:vAlign w:val="center"/>
          </w:tcPr>
          <w:p w14:paraId="12F2241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2015</w:t>
            </w:r>
          </w:p>
        </w:tc>
        <w:tc>
          <w:tcPr>
            <w:tcW w:w="2592" w:type="dxa"/>
            <w:vAlign w:val="center"/>
          </w:tcPr>
          <w:p w14:paraId="6E5EFC6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$470,533</w:t>
            </w:r>
          </w:p>
        </w:tc>
        <w:tc>
          <w:tcPr>
            <w:tcW w:w="2592" w:type="dxa"/>
            <w:vAlign w:val="center"/>
          </w:tcPr>
          <w:p w14:paraId="4D055C19"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$61,619</w:t>
            </w:r>
          </w:p>
        </w:tc>
        <w:tc>
          <w:tcPr>
            <w:tcW w:w="2016" w:type="dxa"/>
            <w:vAlign w:val="center"/>
          </w:tcPr>
          <w:p w14:paraId="61AB07EB"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13.10%</w:t>
            </w:r>
          </w:p>
        </w:tc>
      </w:tr>
      <w:tr w:rsidR="00C63231" w:rsidRPr="000B470B" w14:paraId="06AC99AD" w14:textId="77777777">
        <w:trPr>
          <w:jc w:val="center"/>
        </w:trPr>
        <w:tc>
          <w:tcPr>
            <w:tcW w:w="1728" w:type="dxa"/>
            <w:vAlign w:val="center"/>
          </w:tcPr>
          <w:p w14:paraId="4AD231CC"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2016</w:t>
            </w:r>
          </w:p>
        </w:tc>
        <w:tc>
          <w:tcPr>
            <w:tcW w:w="2592" w:type="dxa"/>
            <w:vAlign w:val="center"/>
          </w:tcPr>
          <w:p w14:paraId="7CCD3C64"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$609,206</w:t>
            </w:r>
          </w:p>
        </w:tc>
        <w:tc>
          <w:tcPr>
            <w:tcW w:w="2592" w:type="dxa"/>
            <w:vAlign w:val="center"/>
          </w:tcPr>
          <w:p w14:paraId="6892CDF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$81,795</w:t>
            </w:r>
          </w:p>
        </w:tc>
        <w:tc>
          <w:tcPr>
            <w:tcW w:w="2016" w:type="dxa"/>
            <w:vAlign w:val="center"/>
          </w:tcPr>
          <w:p w14:paraId="62F5B1A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13.43%</w:t>
            </w:r>
          </w:p>
        </w:tc>
      </w:tr>
      <w:tr w:rsidR="00C63231" w:rsidRPr="000B470B" w14:paraId="2D54E81A" w14:textId="77777777">
        <w:trPr>
          <w:jc w:val="center"/>
        </w:trPr>
        <w:tc>
          <w:tcPr>
            <w:tcW w:w="1728" w:type="dxa"/>
            <w:vAlign w:val="center"/>
          </w:tcPr>
          <w:p w14:paraId="2690450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2017</w:t>
            </w:r>
          </w:p>
        </w:tc>
        <w:tc>
          <w:tcPr>
            <w:tcW w:w="2592" w:type="dxa"/>
            <w:vAlign w:val="center"/>
          </w:tcPr>
          <w:p w14:paraId="07B627AB"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$733,215</w:t>
            </w:r>
          </w:p>
        </w:tc>
        <w:tc>
          <w:tcPr>
            <w:tcW w:w="2592" w:type="dxa"/>
            <w:vAlign w:val="center"/>
          </w:tcPr>
          <w:p w14:paraId="721C8F14"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$93,439</w:t>
            </w:r>
          </w:p>
        </w:tc>
        <w:tc>
          <w:tcPr>
            <w:tcW w:w="2016" w:type="dxa"/>
            <w:vAlign w:val="center"/>
          </w:tcPr>
          <w:p w14:paraId="4CA9E8C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12.74%</w:t>
            </w:r>
          </w:p>
        </w:tc>
      </w:tr>
    </w:tbl>
    <w:p w14:paraId="2D58E8F1"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2017 sales were about 20.4% higher than 2016. Across 2014–2017, the implied annualized sales growth rate was approximately 14.8%. Profit also increased each year, although margin varied.</w:t>
      </w:r>
    </w:p>
    <w:p w14:paraId="46ED2191" w14:textId="77777777" w:rsidR="00C63231" w:rsidRPr="000B470B" w:rsidRDefault="00000000" w:rsidP="000B470B">
      <w:pPr>
        <w:pStyle w:val="Heading1"/>
        <w:rPr>
          <w:rFonts w:ascii="Amasis MT Pro" w:hAnsi="Amasis MT Pro"/>
          <w:sz w:val="24"/>
          <w:szCs w:val="24"/>
        </w:rPr>
      </w:pPr>
      <w:r w:rsidRPr="000B470B">
        <w:rPr>
          <w:rFonts w:ascii="Amasis MT Pro" w:hAnsi="Amasis MT Pro"/>
          <w:sz w:val="24"/>
          <w:szCs w:val="24"/>
        </w:rPr>
        <w:lastRenderedPageBreak/>
        <w:t>4. Regional Performance</w:t>
      </w:r>
    </w:p>
    <w:tbl>
      <w:tblPr>
        <w:tblStyle w:val="TableGrid"/>
        <w:tblW w:w="0" w:type="auto"/>
        <w:jc w:val="center"/>
        <w:tblLook w:val="04A0" w:firstRow="1" w:lastRow="0" w:firstColumn="1" w:lastColumn="0" w:noHBand="0" w:noVBand="1"/>
      </w:tblPr>
      <w:tblGrid>
        <w:gridCol w:w="2160"/>
        <w:gridCol w:w="2592"/>
        <w:gridCol w:w="2592"/>
        <w:gridCol w:w="2016"/>
      </w:tblGrid>
      <w:tr w:rsidR="00C63231" w:rsidRPr="000B470B" w14:paraId="2C8ECF90" w14:textId="77777777">
        <w:trPr>
          <w:jc w:val="center"/>
        </w:trPr>
        <w:tc>
          <w:tcPr>
            <w:tcW w:w="2160" w:type="dxa"/>
            <w:shd w:val="clear" w:color="auto" w:fill="D9EAD3"/>
            <w:vAlign w:val="center"/>
          </w:tcPr>
          <w:p w14:paraId="122DA47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Region</w:t>
            </w:r>
          </w:p>
        </w:tc>
        <w:tc>
          <w:tcPr>
            <w:tcW w:w="2592" w:type="dxa"/>
            <w:shd w:val="clear" w:color="auto" w:fill="D9EAD3"/>
            <w:vAlign w:val="center"/>
          </w:tcPr>
          <w:p w14:paraId="7C0B85E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Sales</w:t>
            </w:r>
          </w:p>
        </w:tc>
        <w:tc>
          <w:tcPr>
            <w:tcW w:w="2592" w:type="dxa"/>
            <w:shd w:val="clear" w:color="auto" w:fill="D9EAD3"/>
            <w:vAlign w:val="center"/>
          </w:tcPr>
          <w:p w14:paraId="611CE7D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Profit</w:t>
            </w:r>
          </w:p>
        </w:tc>
        <w:tc>
          <w:tcPr>
            <w:tcW w:w="2016" w:type="dxa"/>
            <w:shd w:val="clear" w:color="auto" w:fill="D9EAD3"/>
            <w:vAlign w:val="center"/>
          </w:tcPr>
          <w:p w14:paraId="2CF776A1"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Margin</w:t>
            </w:r>
          </w:p>
        </w:tc>
      </w:tr>
      <w:tr w:rsidR="00C63231" w:rsidRPr="000B470B" w14:paraId="4AD63696" w14:textId="77777777">
        <w:trPr>
          <w:jc w:val="center"/>
        </w:trPr>
        <w:tc>
          <w:tcPr>
            <w:tcW w:w="2160" w:type="dxa"/>
            <w:vAlign w:val="center"/>
          </w:tcPr>
          <w:p w14:paraId="7DBD8F51"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Central</w:t>
            </w:r>
          </w:p>
        </w:tc>
        <w:tc>
          <w:tcPr>
            <w:tcW w:w="2592" w:type="dxa"/>
            <w:vAlign w:val="center"/>
          </w:tcPr>
          <w:p w14:paraId="6C30059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$501,240</w:t>
            </w:r>
          </w:p>
        </w:tc>
        <w:tc>
          <w:tcPr>
            <w:tcW w:w="2592" w:type="dxa"/>
            <w:vAlign w:val="center"/>
          </w:tcPr>
          <w:p w14:paraId="09546D8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$39,706</w:t>
            </w:r>
          </w:p>
        </w:tc>
        <w:tc>
          <w:tcPr>
            <w:tcW w:w="2016" w:type="dxa"/>
            <w:vAlign w:val="center"/>
          </w:tcPr>
          <w:p w14:paraId="06FA492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7.92%</w:t>
            </w:r>
          </w:p>
        </w:tc>
      </w:tr>
      <w:tr w:rsidR="00C63231" w:rsidRPr="000B470B" w14:paraId="490ED3BA" w14:textId="77777777">
        <w:trPr>
          <w:jc w:val="center"/>
        </w:trPr>
        <w:tc>
          <w:tcPr>
            <w:tcW w:w="2160" w:type="dxa"/>
            <w:vAlign w:val="center"/>
          </w:tcPr>
          <w:p w14:paraId="16F9004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East</w:t>
            </w:r>
          </w:p>
        </w:tc>
        <w:tc>
          <w:tcPr>
            <w:tcW w:w="2592" w:type="dxa"/>
            <w:vAlign w:val="center"/>
          </w:tcPr>
          <w:p w14:paraId="698C207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$678,781</w:t>
            </w:r>
          </w:p>
        </w:tc>
        <w:tc>
          <w:tcPr>
            <w:tcW w:w="2592" w:type="dxa"/>
            <w:vAlign w:val="center"/>
          </w:tcPr>
          <w:p w14:paraId="3FC7824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$91,523</w:t>
            </w:r>
          </w:p>
        </w:tc>
        <w:tc>
          <w:tcPr>
            <w:tcW w:w="2016" w:type="dxa"/>
            <w:vAlign w:val="center"/>
          </w:tcPr>
          <w:p w14:paraId="63DDA4F9"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13.48%</w:t>
            </w:r>
          </w:p>
        </w:tc>
      </w:tr>
      <w:tr w:rsidR="00C63231" w:rsidRPr="000B470B" w14:paraId="59A8B09B" w14:textId="77777777">
        <w:trPr>
          <w:jc w:val="center"/>
        </w:trPr>
        <w:tc>
          <w:tcPr>
            <w:tcW w:w="2160" w:type="dxa"/>
            <w:vAlign w:val="center"/>
          </w:tcPr>
          <w:p w14:paraId="58DD564B"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South</w:t>
            </w:r>
          </w:p>
        </w:tc>
        <w:tc>
          <w:tcPr>
            <w:tcW w:w="2592" w:type="dxa"/>
            <w:vAlign w:val="center"/>
          </w:tcPr>
          <w:p w14:paraId="3E445F4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$391,722</w:t>
            </w:r>
          </w:p>
        </w:tc>
        <w:tc>
          <w:tcPr>
            <w:tcW w:w="2592" w:type="dxa"/>
            <w:vAlign w:val="center"/>
          </w:tcPr>
          <w:p w14:paraId="6007ED1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$46,749</w:t>
            </w:r>
          </w:p>
        </w:tc>
        <w:tc>
          <w:tcPr>
            <w:tcW w:w="2016" w:type="dxa"/>
            <w:vAlign w:val="center"/>
          </w:tcPr>
          <w:p w14:paraId="2B1EDA4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11.93%</w:t>
            </w:r>
          </w:p>
        </w:tc>
      </w:tr>
      <w:tr w:rsidR="00C63231" w:rsidRPr="000B470B" w14:paraId="6ECEEBC3" w14:textId="77777777">
        <w:trPr>
          <w:jc w:val="center"/>
        </w:trPr>
        <w:tc>
          <w:tcPr>
            <w:tcW w:w="2160" w:type="dxa"/>
            <w:vAlign w:val="center"/>
          </w:tcPr>
          <w:p w14:paraId="378C09D8"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West</w:t>
            </w:r>
          </w:p>
        </w:tc>
        <w:tc>
          <w:tcPr>
            <w:tcW w:w="2592" w:type="dxa"/>
            <w:vAlign w:val="center"/>
          </w:tcPr>
          <w:p w14:paraId="12626DA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$725,458</w:t>
            </w:r>
          </w:p>
        </w:tc>
        <w:tc>
          <w:tcPr>
            <w:tcW w:w="2592" w:type="dxa"/>
            <w:vAlign w:val="center"/>
          </w:tcPr>
          <w:p w14:paraId="65154C66"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$108,418</w:t>
            </w:r>
          </w:p>
        </w:tc>
        <w:tc>
          <w:tcPr>
            <w:tcW w:w="2016" w:type="dxa"/>
            <w:vAlign w:val="center"/>
          </w:tcPr>
          <w:p w14:paraId="7D20CFC0"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14.94%</w:t>
            </w:r>
          </w:p>
        </w:tc>
      </w:tr>
    </w:tbl>
    <w:p w14:paraId="13379127"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West produced the highest sales and profit in the dataset. Central generated substantial sales but had the lowest regional profit margin, indicating an opportunity to investigate pricing, discounting, product mix, and cost-to-serve.</w:t>
      </w:r>
    </w:p>
    <w:p w14:paraId="55C83BA4" w14:textId="77777777" w:rsidR="00C63231" w:rsidRPr="000B470B" w:rsidRDefault="00000000" w:rsidP="000B470B">
      <w:pPr>
        <w:pStyle w:val="Heading1"/>
        <w:rPr>
          <w:rFonts w:ascii="Amasis MT Pro" w:hAnsi="Amasis MT Pro"/>
          <w:sz w:val="24"/>
          <w:szCs w:val="24"/>
        </w:rPr>
      </w:pPr>
      <w:r w:rsidRPr="000B470B">
        <w:rPr>
          <w:rFonts w:ascii="Amasis MT Pro" w:hAnsi="Amasis MT Pro"/>
          <w:sz w:val="24"/>
          <w:szCs w:val="24"/>
        </w:rPr>
        <w:t>5. Category &amp; Product Insights</w:t>
      </w:r>
    </w:p>
    <w:tbl>
      <w:tblPr>
        <w:tblStyle w:val="TableGrid"/>
        <w:tblW w:w="0" w:type="auto"/>
        <w:jc w:val="center"/>
        <w:tblLook w:val="04A0" w:firstRow="1" w:lastRow="0" w:firstColumn="1" w:lastColumn="0" w:noHBand="0" w:noVBand="1"/>
      </w:tblPr>
      <w:tblGrid>
        <w:gridCol w:w="2880"/>
        <w:gridCol w:w="2448"/>
        <w:gridCol w:w="2448"/>
        <w:gridCol w:w="1872"/>
      </w:tblGrid>
      <w:tr w:rsidR="00C63231" w:rsidRPr="000B470B" w14:paraId="74B86FE7" w14:textId="77777777">
        <w:trPr>
          <w:jc w:val="center"/>
        </w:trPr>
        <w:tc>
          <w:tcPr>
            <w:tcW w:w="2880" w:type="dxa"/>
            <w:shd w:val="clear" w:color="auto" w:fill="D9EAD3"/>
            <w:vAlign w:val="center"/>
          </w:tcPr>
          <w:p w14:paraId="7DA4DE70"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Category</w:t>
            </w:r>
          </w:p>
        </w:tc>
        <w:tc>
          <w:tcPr>
            <w:tcW w:w="2448" w:type="dxa"/>
            <w:shd w:val="clear" w:color="auto" w:fill="D9EAD3"/>
            <w:vAlign w:val="center"/>
          </w:tcPr>
          <w:p w14:paraId="38F6630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Sales</w:t>
            </w:r>
          </w:p>
        </w:tc>
        <w:tc>
          <w:tcPr>
            <w:tcW w:w="2448" w:type="dxa"/>
            <w:shd w:val="clear" w:color="auto" w:fill="D9EAD3"/>
            <w:vAlign w:val="center"/>
          </w:tcPr>
          <w:p w14:paraId="5F42C702"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Profit</w:t>
            </w:r>
          </w:p>
        </w:tc>
        <w:tc>
          <w:tcPr>
            <w:tcW w:w="1872" w:type="dxa"/>
            <w:shd w:val="clear" w:color="auto" w:fill="D9EAD3"/>
            <w:vAlign w:val="center"/>
          </w:tcPr>
          <w:p w14:paraId="1FD9770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Margin</w:t>
            </w:r>
          </w:p>
        </w:tc>
      </w:tr>
      <w:tr w:rsidR="00C63231" w:rsidRPr="000B470B" w14:paraId="202D5B17" w14:textId="77777777">
        <w:trPr>
          <w:jc w:val="center"/>
        </w:trPr>
        <w:tc>
          <w:tcPr>
            <w:tcW w:w="2880" w:type="dxa"/>
            <w:vAlign w:val="center"/>
          </w:tcPr>
          <w:p w14:paraId="62A9F6B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Furniture</w:t>
            </w:r>
          </w:p>
        </w:tc>
        <w:tc>
          <w:tcPr>
            <w:tcW w:w="2448" w:type="dxa"/>
            <w:vAlign w:val="center"/>
          </w:tcPr>
          <w:p w14:paraId="2D6B9A6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$742,000</w:t>
            </w:r>
          </w:p>
        </w:tc>
        <w:tc>
          <w:tcPr>
            <w:tcW w:w="2448" w:type="dxa"/>
            <w:vAlign w:val="center"/>
          </w:tcPr>
          <w:p w14:paraId="140E86C2"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$18,451</w:t>
            </w:r>
          </w:p>
        </w:tc>
        <w:tc>
          <w:tcPr>
            <w:tcW w:w="1872" w:type="dxa"/>
            <w:vAlign w:val="center"/>
          </w:tcPr>
          <w:p w14:paraId="0C547C3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2.49%</w:t>
            </w:r>
          </w:p>
        </w:tc>
      </w:tr>
      <w:tr w:rsidR="00C63231" w:rsidRPr="000B470B" w14:paraId="0EFA0BF0" w14:textId="77777777">
        <w:trPr>
          <w:jc w:val="center"/>
        </w:trPr>
        <w:tc>
          <w:tcPr>
            <w:tcW w:w="2880" w:type="dxa"/>
            <w:vAlign w:val="center"/>
          </w:tcPr>
          <w:p w14:paraId="070C3B6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Office Supplies</w:t>
            </w:r>
          </w:p>
        </w:tc>
        <w:tc>
          <w:tcPr>
            <w:tcW w:w="2448" w:type="dxa"/>
            <w:vAlign w:val="center"/>
          </w:tcPr>
          <w:p w14:paraId="7B5095AB"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$719,047</w:t>
            </w:r>
          </w:p>
        </w:tc>
        <w:tc>
          <w:tcPr>
            <w:tcW w:w="2448" w:type="dxa"/>
            <w:vAlign w:val="center"/>
          </w:tcPr>
          <w:p w14:paraId="5D8AAF7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$122,491</w:t>
            </w:r>
          </w:p>
        </w:tc>
        <w:tc>
          <w:tcPr>
            <w:tcW w:w="1872" w:type="dxa"/>
            <w:vAlign w:val="center"/>
          </w:tcPr>
          <w:p w14:paraId="2C7B3DA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17.04%</w:t>
            </w:r>
          </w:p>
        </w:tc>
      </w:tr>
      <w:tr w:rsidR="00C63231" w:rsidRPr="000B470B" w14:paraId="7EFCA2AB" w14:textId="77777777">
        <w:trPr>
          <w:jc w:val="center"/>
        </w:trPr>
        <w:tc>
          <w:tcPr>
            <w:tcW w:w="2880" w:type="dxa"/>
            <w:vAlign w:val="center"/>
          </w:tcPr>
          <w:p w14:paraId="29A8B3DB"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Technology</w:t>
            </w:r>
          </w:p>
        </w:tc>
        <w:tc>
          <w:tcPr>
            <w:tcW w:w="2448" w:type="dxa"/>
            <w:vAlign w:val="center"/>
          </w:tcPr>
          <w:p w14:paraId="48089ED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$836,154</w:t>
            </w:r>
          </w:p>
        </w:tc>
        <w:tc>
          <w:tcPr>
            <w:tcW w:w="2448" w:type="dxa"/>
            <w:vAlign w:val="center"/>
          </w:tcPr>
          <w:p w14:paraId="0DC2867C"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$145,455</w:t>
            </w:r>
          </w:p>
        </w:tc>
        <w:tc>
          <w:tcPr>
            <w:tcW w:w="1872" w:type="dxa"/>
            <w:vAlign w:val="center"/>
          </w:tcPr>
          <w:p w14:paraId="7AADF77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17.40%</w:t>
            </w:r>
          </w:p>
        </w:tc>
      </w:tr>
    </w:tbl>
    <w:p w14:paraId="3CF96ABD" w14:textId="77777777" w:rsidR="00C63231" w:rsidRPr="000B470B" w:rsidRDefault="00000000" w:rsidP="000B470B">
      <w:pPr>
        <w:pStyle w:val="Heading2"/>
        <w:rPr>
          <w:rFonts w:ascii="Amasis MT Pro" w:hAnsi="Amasis MT Pro"/>
          <w:szCs w:val="24"/>
        </w:rPr>
      </w:pPr>
      <w:r w:rsidRPr="000B470B">
        <w:rPr>
          <w:rFonts w:ascii="Amasis MT Pro" w:hAnsi="Amasis MT Pro"/>
          <w:szCs w:val="24"/>
        </w:rPr>
        <w:t>Key product findings</w:t>
      </w:r>
    </w:p>
    <w:p w14:paraId="4780AECC"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Technology is the strongest category on profitability, while Furniture is a major profitability concern. At sub-category level, Tables generated approximately -$17.7K profit, followed by Bookcases at about -$3.5K and Supplies at about -$1.2K.</w:t>
      </w:r>
    </w:p>
    <w:p w14:paraId="2EBEB5A8"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The Canon imageCLASS 2200 Advanced Copier was the leading product by sales in the workbook (about $61.6K) and also generated about $25.2K profit, making it an example of strong revenue and profit contribution.</w:t>
      </w:r>
    </w:p>
    <w:p w14:paraId="654BB6EF" w14:textId="77777777" w:rsidR="00C63231" w:rsidRPr="000B470B" w:rsidRDefault="00000000" w:rsidP="000B470B">
      <w:pPr>
        <w:pStyle w:val="Heading1"/>
        <w:rPr>
          <w:rFonts w:ascii="Amasis MT Pro" w:hAnsi="Amasis MT Pro"/>
          <w:sz w:val="24"/>
          <w:szCs w:val="24"/>
        </w:rPr>
      </w:pPr>
      <w:r w:rsidRPr="000B470B">
        <w:rPr>
          <w:rFonts w:ascii="Amasis MT Pro" w:hAnsi="Amasis MT Pro"/>
          <w:sz w:val="24"/>
          <w:szCs w:val="24"/>
        </w:rPr>
        <w:t>6. Returns Analysis</w:t>
      </w:r>
    </w:p>
    <w:p w14:paraId="24B5E4EA"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The workbook reports 296 returned orders and an overall return rate of 5.91%. Furniture has the highest category return count in the analysis, while the West region has the highest reported regional return rate. Return-heavy products and categories should be reviewed alongside product quality, shipping damage, customer expectations, and discounting.</w:t>
      </w:r>
    </w:p>
    <w:p w14:paraId="711BA2AC" w14:textId="77777777" w:rsidR="00C63231" w:rsidRPr="000B470B" w:rsidRDefault="00000000" w:rsidP="000B470B">
      <w:pPr>
        <w:pStyle w:val="Heading1"/>
        <w:spacing w:before="240"/>
        <w:rPr>
          <w:rFonts w:ascii="Amasis MT Pro" w:hAnsi="Amasis MT Pro"/>
          <w:sz w:val="24"/>
          <w:szCs w:val="24"/>
        </w:rPr>
      </w:pPr>
      <w:r w:rsidRPr="000B470B">
        <w:rPr>
          <w:rFonts w:ascii="Amasis MT Pro" w:hAnsi="Amasis MT Pro"/>
          <w:sz w:val="24"/>
          <w:szCs w:val="24"/>
        </w:rPr>
        <w:t>7. Discount &amp; Profitability Analysis</w:t>
      </w:r>
    </w:p>
    <w:tbl>
      <w:tblPr>
        <w:tblStyle w:val="TableGrid"/>
        <w:tblW w:w="0" w:type="auto"/>
        <w:jc w:val="center"/>
        <w:tblLook w:val="04A0" w:firstRow="1" w:lastRow="0" w:firstColumn="1" w:lastColumn="0" w:noHBand="0" w:noVBand="1"/>
      </w:tblPr>
      <w:tblGrid>
        <w:gridCol w:w="2160"/>
        <w:gridCol w:w="2448"/>
        <w:gridCol w:w="2448"/>
        <w:gridCol w:w="2016"/>
      </w:tblGrid>
      <w:tr w:rsidR="00C63231" w:rsidRPr="000B470B" w14:paraId="75175B7B" w14:textId="77777777">
        <w:trPr>
          <w:jc w:val="center"/>
        </w:trPr>
        <w:tc>
          <w:tcPr>
            <w:tcW w:w="2160" w:type="dxa"/>
            <w:shd w:val="clear" w:color="auto" w:fill="D9EAD3"/>
            <w:vAlign w:val="center"/>
          </w:tcPr>
          <w:p w14:paraId="4C3C8D21"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Discount Band</w:t>
            </w:r>
          </w:p>
        </w:tc>
        <w:tc>
          <w:tcPr>
            <w:tcW w:w="2448" w:type="dxa"/>
            <w:shd w:val="clear" w:color="auto" w:fill="D9EAD3"/>
            <w:vAlign w:val="center"/>
          </w:tcPr>
          <w:p w14:paraId="49FF138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Sales</w:t>
            </w:r>
          </w:p>
        </w:tc>
        <w:tc>
          <w:tcPr>
            <w:tcW w:w="2448" w:type="dxa"/>
            <w:shd w:val="clear" w:color="auto" w:fill="D9EAD3"/>
            <w:vAlign w:val="center"/>
          </w:tcPr>
          <w:p w14:paraId="599C715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Profit</w:t>
            </w:r>
          </w:p>
        </w:tc>
        <w:tc>
          <w:tcPr>
            <w:tcW w:w="2016" w:type="dxa"/>
            <w:shd w:val="clear" w:color="auto" w:fill="D9EAD3"/>
            <w:vAlign w:val="center"/>
          </w:tcPr>
          <w:p w14:paraId="61B4EDE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b/>
                <w:sz w:val="24"/>
                <w:szCs w:val="24"/>
              </w:rPr>
              <w:t>Margin</w:t>
            </w:r>
          </w:p>
        </w:tc>
      </w:tr>
      <w:tr w:rsidR="00C63231" w:rsidRPr="000B470B" w14:paraId="279FEE55" w14:textId="77777777">
        <w:trPr>
          <w:jc w:val="center"/>
        </w:trPr>
        <w:tc>
          <w:tcPr>
            <w:tcW w:w="2160" w:type="dxa"/>
            <w:vAlign w:val="center"/>
          </w:tcPr>
          <w:p w14:paraId="1C1D701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0%</w:t>
            </w:r>
          </w:p>
        </w:tc>
        <w:tc>
          <w:tcPr>
            <w:tcW w:w="2448" w:type="dxa"/>
            <w:vAlign w:val="center"/>
          </w:tcPr>
          <w:p w14:paraId="30625702"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$1,087,908</w:t>
            </w:r>
          </w:p>
        </w:tc>
        <w:tc>
          <w:tcPr>
            <w:tcW w:w="2448" w:type="dxa"/>
            <w:vAlign w:val="center"/>
          </w:tcPr>
          <w:p w14:paraId="47B0BF18"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$320,988</w:t>
            </w:r>
          </w:p>
        </w:tc>
        <w:tc>
          <w:tcPr>
            <w:tcW w:w="2016" w:type="dxa"/>
            <w:vAlign w:val="center"/>
          </w:tcPr>
          <w:p w14:paraId="629FCD9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29.51%</w:t>
            </w:r>
          </w:p>
        </w:tc>
      </w:tr>
      <w:tr w:rsidR="00C63231" w:rsidRPr="000B470B" w14:paraId="1BA962B6" w14:textId="77777777">
        <w:trPr>
          <w:jc w:val="center"/>
        </w:trPr>
        <w:tc>
          <w:tcPr>
            <w:tcW w:w="2160" w:type="dxa"/>
            <w:vAlign w:val="center"/>
          </w:tcPr>
          <w:p w14:paraId="3D86F4B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1-10%</w:t>
            </w:r>
          </w:p>
        </w:tc>
        <w:tc>
          <w:tcPr>
            <w:tcW w:w="2448" w:type="dxa"/>
            <w:vAlign w:val="center"/>
          </w:tcPr>
          <w:p w14:paraId="7D67E9E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$54,369</w:t>
            </w:r>
          </w:p>
        </w:tc>
        <w:tc>
          <w:tcPr>
            <w:tcW w:w="2448" w:type="dxa"/>
            <w:vAlign w:val="center"/>
          </w:tcPr>
          <w:p w14:paraId="1685045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$9,029</w:t>
            </w:r>
          </w:p>
        </w:tc>
        <w:tc>
          <w:tcPr>
            <w:tcW w:w="2016" w:type="dxa"/>
            <w:vAlign w:val="center"/>
          </w:tcPr>
          <w:p w14:paraId="0803FA6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16.61%</w:t>
            </w:r>
          </w:p>
        </w:tc>
      </w:tr>
      <w:tr w:rsidR="00C63231" w:rsidRPr="000B470B" w14:paraId="1ED9F28C" w14:textId="77777777">
        <w:trPr>
          <w:jc w:val="center"/>
        </w:trPr>
        <w:tc>
          <w:tcPr>
            <w:tcW w:w="2160" w:type="dxa"/>
            <w:vAlign w:val="center"/>
          </w:tcPr>
          <w:p w14:paraId="4C3CA32D"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11-20%</w:t>
            </w:r>
          </w:p>
        </w:tc>
        <w:tc>
          <w:tcPr>
            <w:tcW w:w="2448" w:type="dxa"/>
            <w:vAlign w:val="center"/>
          </w:tcPr>
          <w:p w14:paraId="4D4CE4F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$792,153</w:t>
            </w:r>
          </w:p>
        </w:tc>
        <w:tc>
          <w:tcPr>
            <w:tcW w:w="2448" w:type="dxa"/>
            <w:vAlign w:val="center"/>
          </w:tcPr>
          <w:p w14:paraId="19F9B07A"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$91,756</w:t>
            </w:r>
          </w:p>
        </w:tc>
        <w:tc>
          <w:tcPr>
            <w:tcW w:w="2016" w:type="dxa"/>
            <w:vAlign w:val="center"/>
          </w:tcPr>
          <w:p w14:paraId="1AF407B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11.58%</w:t>
            </w:r>
          </w:p>
        </w:tc>
      </w:tr>
      <w:tr w:rsidR="00C63231" w:rsidRPr="000B470B" w14:paraId="6372C8DA" w14:textId="77777777">
        <w:trPr>
          <w:jc w:val="center"/>
        </w:trPr>
        <w:tc>
          <w:tcPr>
            <w:tcW w:w="2160" w:type="dxa"/>
            <w:vAlign w:val="center"/>
          </w:tcPr>
          <w:p w14:paraId="2A3A9544"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lastRenderedPageBreak/>
              <w:t>21-30%</w:t>
            </w:r>
          </w:p>
        </w:tc>
        <w:tc>
          <w:tcPr>
            <w:tcW w:w="2448" w:type="dxa"/>
            <w:vAlign w:val="center"/>
          </w:tcPr>
          <w:p w14:paraId="247D1238"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$103,227</w:t>
            </w:r>
          </w:p>
        </w:tc>
        <w:tc>
          <w:tcPr>
            <w:tcW w:w="2448" w:type="dxa"/>
            <w:vAlign w:val="center"/>
          </w:tcPr>
          <w:p w14:paraId="6D30B0E1"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$-10,369</w:t>
            </w:r>
          </w:p>
        </w:tc>
        <w:tc>
          <w:tcPr>
            <w:tcW w:w="2016" w:type="dxa"/>
            <w:vAlign w:val="center"/>
          </w:tcPr>
          <w:p w14:paraId="7FFE8CF6"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-10.05%</w:t>
            </w:r>
          </w:p>
        </w:tc>
      </w:tr>
      <w:tr w:rsidR="00C63231" w:rsidRPr="000B470B" w14:paraId="1A332174" w14:textId="77777777">
        <w:trPr>
          <w:jc w:val="center"/>
        </w:trPr>
        <w:tc>
          <w:tcPr>
            <w:tcW w:w="2160" w:type="dxa"/>
            <w:vAlign w:val="center"/>
          </w:tcPr>
          <w:p w14:paraId="45904D67"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31-40%</w:t>
            </w:r>
          </w:p>
        </w:tc>
        <w:tc>
          <w:tcPr>
            <w:tcW w:w="2448" w:type="dxa"/>
            <w:vAlign w:val="center"/>
          </w:tcPr>
          <w:p w14:paraId="4BF64C12"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$130,911</w:t>
            </w:r>
          </w:p>
        </w:tc>
        <w:tc>
          <w:tcPr>
            <w:tcW w:w="2448" w:type="dxa"/>
            <w:vAlign w:val="center"/>
          </w:tcPr>
          <w:p w14:paraId="42D13EB5"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$-25,448</w:t>
            </w:r>
          </w:p>
        </w:tc>
        <w:tc>
          <w:tcPr>
            <w:tcW w:w="2016" w:type="dxa"/>
            <w:vAlign w:val="center"/>
          </w:tcPr>
          <w:p w14:paraId="705F7C5E"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-19.44%</w:t>
            </w:r>
          </w:p>
        </w:tc>
      </w:tr>
      <w:tr w:rsidR="00C63231" w:rsidRPr="000B470B" w14:paraId="00EE8ED2" w14:textId="77777777">
        <w:trPr>
          <w:jc w:val="center"/>
        </w:trPr>
        <w:tc>
          <w:tcPr>
            <w:tcW w:w="2160" w:type="dxa"/>
            <w:vAlign w:val="center"/>
          </w:tcPr>
          <w:p w14:paraId="369729FF"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40%+</w:t>
            </w:r>
          </w:p>
        </w:tc>
        <w:tc>
          <w:tcPr>
            <w:tcW w:w="2448" w:type="dxa"/>
            <w:vAlign w:val="center"/>
          </w:tcPr>
          <w:p w14:paraId="6032E0B8"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$128,632</w:t>
            </w:r>
          </w:p>
        </w:tc>
        <w:tc>
          <w:tcPr>
            <w:tcW w:w="2448" w:type="dxa"/>
            <w:vAlign w:val="center"/>
          </w:tcPr>
          <w:p w14:paraId="1AE3DED1"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$-99,559</w:t>
            </w:r>
          </w:p>
        </w:tc>
        <w:tc>
          <w:tcPr>
            <w:tcW w:w="2016" w:type="dxa"/>
            <w:vAlign w:val="center"/>
          </w:tcPr>
          <w:p w14:paraId="32E7C7F3" w14:textId="77777777" w:rsidR="00C63231" w:rsidRPr="000B470B" w:rsidRDefault="00000000" w:rsidP="000B470B">
            <w:pPr>
              <w:spacing w:before="0" w:line="360" w:lineRule="auto"/>
              <w:rPr>
                <w:rFonts w:ascii="Amasis MT Pro" w:hAnsi="Amasis MT Pro"/>
                <w:sz w:val="24"/>
                <w:szCs w:val="24"/>
              </w:rPr>
            </w:pPr>
            <w:r w:rsidRPr="000B470B">
              <w:rPr>
                <w:rFonts w:ascii="Amasis MT Pro" w:hAnsi="Amasis MT Pro"/>
                <w:sz w:val="24"/>
                <w:szCs w:val="24"/>
              </w:rPr>
              <w:t>-77.40%</w:t>
            </w:r>
          </w:p>
        </w:tc>
      </w:tr>
    </w:tbl>
    <w:p w14:paraId="5AE9C416"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The clearest profitability signal is at high discount levels. Transactions with discounts above 40% generated approximately $128.6K sales but about -$99.6K profit, a -77.4% margin. Discounts of 21–30% and 31–40% were also loss-making in aggregate. This supports tighter discount governance and product-level margin checks before approving large discounts.</w:t>
      </w:r>
    </w:p>
    <w:p w14:paraId="551469DE" w14:textId="77777777" w:rsidR="00C63231" w:rsidRPr="000B470B" w:rsidRDefault="00000000" w:rsidP="000B470B">
      <w:pPr>
        <w:pStyle w:val="Heading1"/>
        <w:spacing w:before="240"/>
        <w:rPr>
          <w:rFonts w:ascii="Amasis MT Pro" w:hAnsi="Amasis MT Pro"/>
          <w:sz w:val="24"/>
          <w:szCs w:val="24"/>
        </w:rPr>
      </w:pPr>
      <w:r w:rsidRPr="000B470B">
        <w:rPr>
          <w:rFonts w:ascii="Amasis MT Pro" w:hAnsi="Amasis MT Pro"/>
          <w:sz w:val="24"/>
          <w:szCs w:val="24"/>
        </w:rPr>
        <w:t>8. Business Growth Recommendations</w:t>
      </w:r>
    </w:p>
    <w:p w14:paraId="0B2E41D8" w14:textId="77777777" w:rsidR="00C63231" w:rsidRPr="000B470B" w:rsidRDefault="00000000" w:rsidP="000B470B">
      <w:pPr>
        <w:pStyle w:val="ListBullet"/>
        <w:rPr>
          <w:rFonts w:ascii="Amasis MT Pro" w:hAnsi="Amasis MT Pro"/>
          <w:sz w:val="24"/>
          <w:szCs w:val="24"/>
        </w:rPr>
      </w:pPr>
      <w:r w:rsidRPr="000B470B">
        <w:rPr>
          <w:rFonts w:ascii="Amasis MT Pro" w:hAnsi="Amasis MT Pro"/>
          <w:b/>
          <w:sz w:val="24"/>
          <w:szCs w:val="24"/>
        </w:rPr>
        <w:t xml:space="preserve">Protect profitable growth: </w:t>
      </w:r>
      <w:r w:rsidRPr="000B470B">
        <w:rPr>
          <w:rFonts w:ascii="Amasis MT Pro" w:hAnsi="Amasis MT Pro"/>
          <w:sz w:val="24"/>
          <w:szCs w:val="24"/>
        </w:rPr>
        <w:t>Prioritize products and categories that combine strong sales with healthy margins, especially Technology and high-margin sub-categories.</w:t>
      </w:r>
    </w:p>
    <w:p w14:paraId="08A0A6EE" w14:textId="77777777" w:rsidR="00C63231" w:rsidRPr="000B470B" w:rsidRDefault="00000000" w:rsidP="000B470B">
      <w:pPr>
        <w:pStyle w:val="ListBullet"/>
        <w:rPr>
          <w:rFonts w:ascii="Amasis MT Pro" w:hAnsi="Amasis MT Pro"/>
          <w:sz w:val="24"/>
          <w:szCs w:val="24"/>
        </w:rPr>
      </w:pPr>
      <w:r w:rsidRPr="000B470B">
        <w:rPr>
          <w:rFonts w:ascii="Amasis MT Pro" w:hAnsi="Amasis MT Pro"/>
          <w:b/>
          <w:sz w:val="24"/>
          <w:szCs w:val="24"/>
        </w:rPr>
        <w:t xml:space="preserve">Fix Furniture economics: </w:t>
      </w:r>
      <w:r w:rsidRPr="000B470B">
        <w:rPr>
          <w:rFonts w:ascii="Amasis MT Pro" w:hAnsi="Amasis MT Pro"/>
          <w:sz w:val="24"/>
          <w:szCs w:val="24"/>
        </w:rPr>
        <w:t>Investigate Tables, Bookcases, and other low-margin Furniture products using price, discount, cost, and return data.</w:t>
      </w:r>
    </w:p>
    <w:p w14:paraId="1630B96D" w14:textId="77777777" w:rsidR="00C63231" w:rsidRPr="000B470B" w:rsidRDefault="00000000" w:rsidP="000B470B">
      <w:pPr>
        <w:pStyle w:val="ListBullet"/>
        <w:rPr>
          <w:rFonts w:ascii="Amasis MT Pro" w:hAnsi="Amasis MT Pro"/>
          <w:sz w:val="24"/>
          <w:szCs w:val="24"/>
        </w:rPr>
      </w:pPr>
      <w:r w:rsidRPr="000B470B">
        <w:rPr>
          <w:rFonts w:ascii="Amasis MT Pro" w:hAnsi="Amasis MT Pro"/>
          <w:b/>
          <w:sz w:val="24"/>
          <w:szCs w:val="24"/>
        </w:rPr>
        <w:t xml:space="preserve">Control deep discounts: </w:t>
      </w:r>
      <w:r w:rsidRPr="000B470B">
        <w:rPr>
          <w:rFonts w:ascii="Amasis MT Pro" w:hAnsi="Amasis MT Pro"/>
          <w:sz w:val="24"/>
          <w:szCs w:val="24"/>
        </w:rPr>
        <w:t>Create approval thresholds for discounts above 20–30% and require margin validation for exceptional discounts.</w:t>
      </w:r>
    </w:p>
    <w:p w14:paraId="66465094" w14:textId="77777777" w:rsidR="00C63231" w:rsidRPr="000B470B" w:rsidRDefault="00000000" w:rsidP="000B470B">
      <w:pPr>
        <w:pStyle w:val="ListBullet"/>
        <w:rPr>
          <w:rFonts w:ascii="Amasis MT Pro" w:hAnsi="Amasis MT Pro"/>
          <w:sz w:val="24"/>
          <w:szCs w:val="24"/>
        </w:rPr>
      </w:pPr>
      <w:r w:rsidRPr="000B470B">
        <w:rPr>
          <w:rFonts w:ascii="Amasis MT Pro" w:hAnsi="Amasis MT Pro"/>
          <w:b/>
          <w:sz w:val="24"/>
          <w:szCs w:val="24"/>
        </w:rPr>
        <w:t xml:space="preserve">Investigate Central region: </w:t>
      </w:r>
      <w:r w:rsidRPr="000B470B">
        <w:rPr>
          <w:rFonts w:ascii="Amasis MT Pro" w:hAnsi="Amasis MT Pro"/>
          <w:sz w:val="24"/>
          <w:szCs w:val="24"/>
        </w:rPr>
        <w:t>Review the Central region's product mix, discounting, and operating costs because its margin is materially below the other regions.</w:t>
      </w:r>
    </w:p>
    <w:p w14:paraId="328E30A2" w14:textId="77777777" w:rsidR="00C63231" w:rsidRPr="000B470B" w:rsidRDefault="00000000" w:rsidP="000B470B">
      <w:pPr>
        <w:pStyle w:val="ListBullet"/>
        <w:rPr>
          <w:rFonts w:ascii="Amasis MT Pro" w:hAnsi="Amasis MT Pro"/>
          <w:sz w:val="24"/>
          <w:szCs w:val="24"/>
        </w:rPr>
      </w:pPr>
      <w:r w:rsidRPr="000B470B">
        <w:rPr>
          <w:rFonts w:ascii="Amasis MT Pro" w:hAnsi="Amasis MT Pro"/>
          <w:b/>
          <w:sz w:val="24"/>
          <w:szCs w:val="24"/>
        </w:rPr>
        <w:t xml:space="preserve">Reduce returns: </w:t>
      </w:r>
      <w:r w:rsidRPr="000B470B">
        <w:rPr>
          <w:rFonts w:ascii="Amasis MT Pro" w:hAnsi="Amasis MT Pro"/>
          <w:sz w:val="24"/>
          <w:szCs w:val="24"/>
        </w:rPr>
        <w:t>Drill into returned orders by product, category, region, and reason; target recurring return drivers.</w:t>
      </w:r>
    </w:p>
    <w:p w14:paraId="13EC7BCA" w14:textId="77777777" w:rsidR="00C63231" w:rsidRPr="000B470B" w:rsidRDefault="00000000" w:rsidP="000B470B">
      <w:pPr>
        <w:pStyle w:val="ListBullet"/>
        <w:rPr>
          <w:rFonts w:ascii="Amasis MT Pro" w:hAnsi="Amasis MT Pro"/>
          <w:sz w:val="24"/>
          <w:szCs w:val="24"/>
        </w:rPr>
      </w:pPr>
      <w:r w:rsidRPr="000B470B">
        <w:rPr>
          <w:rFonts w:ascii="Amasis MT Pro" w:hAnsi="Amasis MT Pro"/>
          <w:b/>
          <w:sz w:val="24"/>
          <w:szCs w:val="24"/>
        </w:rPr>
        <w:t xml:space="preserve">Manage products by profit, not sales alone: </w:t>
      </w:r>
      <w:r w:rsidRPr="000B470B">
        <w:rPr>
          <w:rFonts w:ascii="Amasis MT Pro" w:hAnsi="Amasis MT Pro"/>
          <w:sz w:val="24"/>
          <w:szCs w:val="24"/>
        </w:rPr>
        <w:t>Maintain separate Top Sales, Top Profit, and Loss-Making Product views.</w:t>
      </w:r>
    </w:p>
    <w:p w14:paraId="7255AC0D" w14:textId="77777777" w:rsidR="00C63231" w:rsidRPr="000B470B" w:rsidRDefault="00000000" w:rsidP="000B470B">
      <w:pPr>
        <w:pStyle w:val="ListBullet"/>
        <w:rPr>
          <w:rFonts w:ascii="Amasis MT Pro" w:hAnsi="Amasis MT Pro"/>
          <w:sz w:val="24"/>
          <w:szCs w:val="24"/>
        </w:rPr>
      </w:pPr>
      <w:r w:rsidRPr="000B470B">
        <w:rPr>
          <w:rFonts w:ascii="Amasis MT Pro" w:hAnsi="Amasis MT Pro"/>
          <w:b/>
          <w:sz w:val="24"/>
          <w:szCs w:val="24"/>
        </w:rPr>
        <w:t xml:space="preserve">Grow high-value customers: </w:t>
      </w:r>
      <w:r w:rsidRPr="000B470B">
        <w:rPr>
          <w:rFonts w:ascii="Amasis MT Pro" w:hAnsi="Amasis MT Pro"/>
          <w:sz w:val="24"/>
          <w:szCs w:val="24"/>
        </w:rPr>
        <w:t>Use customer-level order frequency, revenue, and profitability to identify retention and cross-sell opportunities.</w:t>
      </w:r>
    </w:p>
    <w:p w14:paraId="5BB66D5A" w14:textId="77777777" w:rsidR="00C63231" w:rsidRPr="000B470B" w:rsidRDefault="00000000" w:rsidP="000B470B">
      <w:pPr>
        <w:pStyle w:val="Heading1"/>
        <w:spacing w:before="240"/>
        <w:rPr>
          <w:rFonts w:ascii="Amasis MT Pro" w:hAnsi="Amasis MT Pro"/>
          <w:sz w:val="24"/>
          <w:szCs w:val="24"/>
        </w:rPr>
      </w:pPr>
      <w:r w:rsidRPr="000B470B">
        <w:rPr>
          <w:rFonts w:ascii="Amasis MT Pro" w:hAnsi="Amasis MT Pro"/>
          <w:sz w:val="24"/>
          <w:szCs w:val="24"/>
        </w:rPr>
        <w:t>9. Recommended Management Dashboard</w:t>
      </w:r>
    </w:p>
    <w:p w14:paraId="008DEEA4" w14:textId="77777777" w:rsidR="00C63231" w:rsidRPr="000B470B" w:rsidRDefault="00000000" w:rsidP="000B470B">
      <w:pPr>
        <w:rPr>
          <w:rFonts w:ascii="Amasis MT Pro" w:hAnsi="Amasis MT Pro"/>
          <w:sz w:val="24"/>
          <w:szCs w:val="24"/>
        </w:rPr>
      </w:pPr>
      <w:r w:rsidRPr="000B470B">
        <w:rPr>
          <w:rFonts w:ascii="Amasis MT Pro" w:hAnsi="Amasis MT Pro"/>
          <w:sz w:val="24"/>
          <w:szCs w:val="24"/>
        </w:rPr>
        <w:t>The final dashboard should contain KPI cards for Sales, Profit, Orders, Customers, Profit Margin, Returned Orders, Return Rate, Average Order Value, and Average Discount. Recommended visuals are Sales Trend, Sales &amp; Profit by Region, Category Profitability, Top/Bottom Products, Return Rate by Region/Category, Sub-Category Performance, People/Regional Performance, and Discount Band vs Profit.</w:t>
      </w:r>
    </w:p>
    <w:p w14:paraId="6008ADFE" w14:textId="77777777" w:rsidR="00C63231" w:rsidRPr="000B470B" w:rsidRDefault="00000000" w:rsidP="000B470B">
      <w:pPr>
        <w:pStyle w:val="Heading1"/>
        <w:spacing w:before="240"/>
        <w:rPr>
          <w:rFonts w:ascii="Amasis MT Pro" w:hAnsi="Amasis MT Pro"/>
          <w:sz w:val="24"/>
          <w:szCs w:val="24"/>
        </w:rPr>
      </w:pPr>
      <w:r w:rsidRPr="000B470B">
        <w:rPr>
          <w:rFonts w:ascii="Amasis MT Pro" w:hAnsi="Amasis MT Pro"/>
          <w:sz w:val="24"/>
          <w:szCs w:val="24"/>
        </w:rPr>
        <w:t>10. Conclusion</w:t>
      </w:r>
    </w:p>
    <w:p w14:paraId="6E6D3A4E" w14:textId="513575D1" w:rsidR="00C63231" w:rsidRPr="000B470B" w:rsidRDefault="00000000" w:rsidP="000B470B">
      <w:pPr>
        <w:rPr>
          <w:rFonts w:ascii="Amasis MT Pro" w:hAnsi="Amasis MT Pro"/>
          <w:sz w:val="24"/>
          <w:szCs w:val="24"/>
        </w:rPr>
      </w:pPr>
      <w:r w:rsidRPr="000B470B">
        <w:rPr>
          <w:rFonts w:ascii="Amasis MT Pro" w:hAnsi="Amasis MT Pro"/>
          <w:sz w:val="24"/>
          <w:szCs w:val="24"/>
        </w:rPr>
        <w:t>The dataset indicates strong revenue expansion from 2014 to 2017, but the next stage of growth should focus on profitable growth rather than sales volume alone. The largest analytical opportunities are Furniture profitability, loss-making sub-categories and products, deep discounting, regional margin differences, and return reduction. These areas provide a practical roadmap for turning the Excel dashboard into actionable business analysis.</w:t>
      </w:r>
    </w:p>
    <w:p w14:paraId="6F62B054" w14:textId="77777777" w:rsidR="00C63231" w:rsidRPr="000B470B" w:rsidRDefault="00000000" w:rsidP="000B470B">
      <w:pPr>
        <w:jc w:val="center"/>
        <w:rPr>
          <w:rFonts w:ascii="Amasis MT Pro" w:hAnsi="Amasis MT Pro"/>
          <w:sz w:val="24"/>
          <w:szCs w:val="24"/>
        </w:rPr>
      </w:pPr>
      <w:r w:rsidRPr="000B470B">
        <w:rPr>
          <w:rFonts w:ascii="Amasis MT Pro" w:hAnsi="Amasis MT Pro"/>
          <w:i/>
          <w:sz w:val="24"/>
          <w:szCs w:val="24"/>
        </w:rPr>
        <w:t>Prepared from the analysis workbook supplied for this project.</w:t>
      </w:r>
    </w:p>
    <w:sectPr w:rsidR="00C63231" w:rsidRPr="000B470B" w:rsidSect="000B47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842450">
    <w:abstractNumId w:val="8"/>
  </w:num>
  <w:num w:numId="2" w16cid:durableId="840849759">
    <w:abstractNumId w:val="6"/>
  </w:num>
  <w:num w:numId="3" w16cid:durableId="1267350755">
    <w:abstractNumId w:val="5"/>
  </w:num>
  <w:num w:numId="4" w16cid:durableId="1578324897">
    <w:abstractNumId w:val="4"/>
  </w:num>
  <w:num w:numId="5" w16cid:durableId="485168549">
    <w:abstractNumId w:val="7"/>
  </w:num>
  <w:num w:numId="6" w16cid:durableId="64501619">
    <w:abstractNumId w:val="3"/>
  </w:num>
  <w:num w:numId="7" w16cid:durableId="560091903">
    <w:abstractNumId w:val="2"/>
  </w:num>
  <w:num w:numId="8" w16cid:durableId="165681087">
    <w:abstractNumId w:val="1"/>
  </w:num>
  <w:num w:numId="9" w16cid:durableId="145529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0B"/>
    <w:rsid w:val="0015074B"/>
    <w:rsid w:val="0029639D"/>
    <w:rsid w:val="00326F90"/>
    <w:rsid w:val="009433BF"/>
    <w:rsid w:val="00AA1D8D"/>
    <w:rsid w:val="00B47730"/>
    <w:rsid w:val="00C632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796E5"/>
  <w14:defaultImageDpi w14:val="300"/>
  <w15:docId w15:val="{3CD99E11-45A1-47F8-A926-15C129A2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before="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सुर्य प्रताप सिंह राजपूत</cp:lastModifiedBy>
  <cp:revision>2</cp:revision>
  <dcterms:created xsi:type="dcterms:W3CDTF">2013-12-23T23:15:00Z</dcterms:created>
  <dcterms:modified xsi:type="dcterms:W3CDTF">2026-09-21T06:11:00Z</dcterms:modified>
  <cp:category/>
</cp:coreProperties>
</file>