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SatQuery AI - Temporal Analysis Report</w:t>
      </w:r>
    </w:p>
    <w:p>
      <w:r>
        <w:t>Generated automatically by SatQuery Geospatial AI Pipeline.</w:t>
        <w:br/>
      </w:r>
    </w:p>
    <w:p>
      <w:pPr>
        <w:pStyle w:val="Heading3"/>
      </w:pPr>
      <w:r>
        <w:t>Professional Temporal Analysis of Provided Geospatial Indices (2023-2026)</w:t>
      </w:r>
    </w:p>
    <w:p>
      <w:r>
        <w:t>---</w:t>
      </w:r>
    </w:p>
    <w:p>
      <w:r>
        <w:t xml:space="preserve">#### </w:t>
      </w:r>
      <w:r>
        <w:rPr>
          <w:b/>
        </w:rPr>
        <w:t>Data Summary:</w:t>
      </w:r>
      <w:r/>
    </w:p>
    <w:p>
      <w:r>
        <w:t>| Date      | NDVI  | NDWI   | NDBI   | NBR    |</w:t>
      </w:r>
    </w:p>
    <w:p>
      <w:r>
        <w:t>|-----------|--------|--------|--------|--------|</w:t>
      </w:r>
    </w:p>
    <w:p>
      <w:r>
        <w:t>| 2023-09   | 0.392  | -0.298 | -0.231 | 0.374  |</w:t>
      </w:r>
    </w:p>
    <w:p>
      <w:r>
        <w:t>| 2023-12   | 0.292  | -0.234 | -0.135 | 0.267  |</w:t>
      </w:r>
    </w:p>
    <w:p>
      <w:r>
        <w:t>| 2024-03   | 0.308  | -0.260 | -0.189 | 0.321  |</w:t>
      </w:r>
    </w:p>
    <w:p>
      <w:r>
        <w:t>| 2024-06   | 0.340  | -0.281 | -0.142 | 0.283  |</w:t>
      </w:r>
    </w:p>
    <w:p>
      <w:r>
        <w:t>| 2024-09   | 0.396  | -0.327 | -0.185 | 0.329  |</w:t>
      </w:r>
    </w:p>
    <w:p>
      <w:r>
        <w:t>| 2024-12   | 0.296  | -0.231 | -0.168 | 0.279  |</w:t>
      </w:r>
    </w:p>
    <w:p>
      <w:r>
        <w:t>| 2025-03   | 0.299  | -0.261 | -0.168 | 0.304  |</w:t>
      </w:r>
    </w:p>
    <w:p>
      <w:r>
        <w:t>| 2025-06   | 0.209  | -0.168 | -0.092 | 0.210  |</w:t>
      </w:r>
    </w:p>
    <w:p>
      <w:r>
        <w:t>| 2025-09   | 0.197  | -0.117 | -0.149 | 0.302  |</w:t>
      </w:r>
    </w:p>
    <w:p>
      <w:r>
        <w:t>| 2025-12   | 0.358  | -0.257 | -0.167 | 0.336  |</w:t>
      </w:r>
    </w:p>
    <w:p>
      <w:r>
        <w:t>| 2026-03   | 0.344  | -0.385 | -0.028 | 0.172  |</w:t>
      </w:r>
    </w:p>
    <w:p>
      <w:r>
        <w:t>---</w:t>
      </w:r>
    </w:p>
    <w:p>
      <w:pPr>
        <w:pStyle w:val="Heading3"/>
      </w:pPr>
      <w:r>
        <w:t>Index Definitions and Implications:</w:t>
      </w:r>
    </w:p>
    <w:p>
      <w:pPr>
        <w:pStyle w:val="ListBullet"/>
      </w:pPr>
      <w:r/>
      <w:r>
        <w:rPr>
          <w:b/>
        </w:rPr>
        <w:t>NDVI (Normalized Difference Vegetation Index):</w:t>
      </w:r>
      <w:r>
        <w:t xml:space="preserve"> Indicator of live green vegetation.</w:t>
      </w:r>
    </w:p>
    <w:p>
      <w:pPr>
        <w:pStyle w:val="ListBullet"/>
      </w:pPr>
      <w:r/>
      <w:r>
        <w:rPr>
          <w:b/>
        </w:rPr>
        <w:t>NDWI (Normalized Difference Water Index):</w:t>
      </w:r>
      <w:r>
        <w:t xml:space="preserve"> Indicator of surface water content.</w:t>
      </w:r>
    </w:p>
    <w:p>
      <w:pPr>
        <w:pStyle w:val="ListBullet"/>
      </w:pPr>
      <w:r/>
      <w:r>
        <w:rPr>
          <w:b/>
        </w:rPr>
        <w:t>NDBI (Normalized Difference Built-up Index):</w:t>
      </w:r>
      <w:r>
        <w:t xml:space="preserve"> Indicator of built-up or urban areas.</w:t>
      </w:r>
    </w:p>
    <w:p>
      <w:pPr>
        <w:pStyle w:val="ListBullet"/>
      </w:pPr>
      <w:r/>
      <w:r>
        <w:rPr>
          <w:b/>
        </w:rPr>
        <w:t>NBR (Normalized Burn Ratio):</w:t>
      </w:r>
      <w:r>
        <w:t xml:space="preserve"> Indicator related to burnt areas or vegetation stress.</w:t>
      </w:r>
    </w:p>
    <w:p>
      <w:r>
        <w:t>---</w:t>
      </w:r>
    </w:p>
    <w:p>
      <w:pPr>
        <w:pStyle w:val="Heading3"/>
      </w:pPr>
      <w:r>
        <w:t>1. NDVI Temporal Analysis (Vegetation Health &amp; Density):</w:t>
      </w:r>
    </w:p>
    <w:p>
      <w:pPr>
        <w:pStyle w:val="ListBullet"/>
      </w:pPr>
      <w:r>
        <w:t xml:space="preserve">NDVI peaks around </w:t>
      </w:r>
      <w:r>
        <w:rPr>
          <w:b/>
        </w:rPr>
        <w:t>0.392 - 0.396</w:t>
      </w:r>
      <w:r>
        <w:t xml:space="preserve"> in Sep 2023 and Sep 2024, indicating high vegetation growth during late summer/early autumn.</w:t>
      </w:r>
    </w:p>
    <w:p>
      <w:pPr>
        <w:pStyle w:val="ListBullet"/>
      </w:pPr>
      <w:r>
        <w:t>There is a notable decline starting mid-2025, with the lowest values recorded in June and September 2025 (~0.197-0.209), suggesting reduced vegetation vigor or coverage.</w:t>
      </w:r>
    </w:p>
    <w:p>
      <w:pPr>
        <w:pStyle w:val="ListBullet"/>
      </w:pPr>
      <w:r>
        <w:t>Recovery is observed by December 2025 and March 2026 (~0.344-0.358).</w:t>
      </w:r>
    </w:p>
    <w:p>
      <w:pPr>
        <w:pStyle w:val="ListBullet"/>
      </w:pPr>
      <w:r/>
      <w:r>
        <w:rPr>
          <w:b/>
        </w:rPr>
        <w:t>Seasonality</w:t>
      </w:r>
      <w:r>
        <w:t xml:space="preserve"> is evident with higher NDVI values in late summer/fall and lower in winter/spring, consistent with temperate vegetation cycles.</w:t>
      </w:r>
    </w:p>
    <w:p>
      <w:r>
        <w:t>---</w:t>
      </w:r>
    </w:p>
    <w:p>
      <w:pPr>
        <w:pStyle w:val="Heading3"/>
      </w:pPr>
      <w:r>
        <w:t>2. NDWI Temporal Analysis (Water Content &amp; Moisture Conditions):</w:t>
      </w:r>
    </w:p>
    <w:p>
      <w:pPr>
        <w:pStyle w:val="ListBullet"/>
      </w:pPr>
      <w:r>
        <w:t>NDWI values are consistently negative, indicating limited surface water or dry conditions across the timeline.</w:t>
      </w:r>
    </w:p>
    <w:p>
      <w:pPr>
        <w:pStyle w:val="ListBullet"/>
      </w:pPr>
      <w:r>
        <w:t>The lowest value (-0.385) occurs in March 2026, implying a potentially dry or stressed moisture state during this time.</w:t>
      </w:r>
    </w:p>
    <w:p>
      <w:pPr>
        <w:pStyle w:val="ListBullet"/>
      </w:pPr>
      <w:r>
        <w:t>Comparatively, NDWI increases slightly in mid-2025 (-0.168 to -0.117 in June and September), possibly indicating transient moisture increase.</w:t>
      </w:r>
    </w:p>
    <w:p>
      <w:pPr>
        <w:pStyle w:val="ListBullet"/>
      </w:pPr>
      <w:r>
        <w:t>Overall, the dataset suggests fluctuating but generally low water availability or soil moisture, potentially affecting vegetation.</w:t>
      </w:r>
    </w:p>
    <w:p>
      <w:r>
        <w:t>---</w:t>
      </w:r>
    </w:p>
    <w:p>
      <w:pPr>
        <w:pStyle w:val="Heading3"/>
      </w:pPr>
      <w:r>
        <w:t>3. NDBI Temporal Analysis (Built-Up / Urban Expansion):</w:t>
      </w:r>
    </w:p>
    <w:p>
      <w:pPr>
        <w:pStyle w:val="ListBullet"/>
      </w:pPr>
      <w:r>
        <w:t>Negative values throughout the period imply a predominance of non-urban land cover.</w:t>
      </w:r>
    </w:p>
    <w:p>
      <w:pPr>
        <w:pStyle w:val="ListBullet"/>
      </w:pPr>
      <w:r>
        <w:t>An upward trend in NDBI values occurs from late 2023 (-0.231) to March 2026 (-0.028), indicating slight increase in built-up or urbanized areas.</w:t>
      </w:r>
    </w:p>
    <w:p>
      <w:pPr>
        <w:pStyle w:val="ListBullet"/>
      </w:pPr>
      <w:r>
        <w:t>March 2026 shows the least negative value, potentially reflecting urban growth or land-use change.</w:t>
      </w:r>
    </w:p>
    <w:p>
      <w:pPr>
        <w:pStyle w:val="ListBullet"/>
      </w:pPr>
      <w:r>
        <w:t>Some fluctuations are present, but the general trend toward less negative values is notable.</w:t>
      </w:r>
    </w:p>
    <w:p>
      <w:r>
        <w:t>---</w:t>
      </w:r>
    </w:p>
    <w:p>
      <w:pPr>
        <w:pStyle w:val="Heading3"/>
      </w:pPr>
      <w:r>
        <w:t>4. NBR Temporal Analysis (Burn Severity / Vegetation Stress):</w:t>
      </w:r>
    </w:p>
    <w:p>
      <w:pPr>
        <w:pStyle w:val="ListBullet"/>
      </w:pPr>
      <w:r>
        <w:t>Highest values (~0.374 in Sep 2023) suggest low burn impact or high vegetation health initially.</w:t>
      </w:r>
    </w:p>
    <w:p>
      <w:pPr>
        <w:pStyle w:val="ListBullet"/>
      </w:pPr>
      <w:r>
        <w:t>There is a decline over time, with notable low of 0.172 in March 2026, which may indicate increasing stress, degradation, or minor burn effects.</w:t>
      </w:r>
    </w:p>
    <w:p>
      <w:pPr>
        <w:pStyle w:val="ListBullet"/>
      </w:pPr>
      <w:r>
        <w:t>Intermediate oscillations correlate roughly with seasonal NDVI trends.</w:t>
      </w:r>
    </w:p>
    <w:p>
      <w:pPr>
        <w:pStyle w:val="ListBullet"/>
      </w:pPr>
      <w:r>
        <w:t>The decreasing NBR trend could warrant monitoring for possible vegetation degradation or fire risk.</w:t>
      </w:r>
    </w:p>
    <w:p>
      <w:r>
        <w:t>---</w:t>
      </w:r>
    </w:p>
    <w:p>
      <w:pPr>
        <w:pStyle w:val="Heading3"/>
      </w:pPr>
      <w:r>
        <w:t>Integrated Interpretation:</w:t>
      </w:r>
    </w:p>
    <w:p>
      <w:pPr>
        <w:pStyle w:val="ListBullet"/>
      </w:pPr>
      <w:r/>
      <w:r>
        <w:rPr>
          <w:b/>
        </w:rPr>
        <w:t>Vegetation Dynamics:</w:t>
      </w:r>
      <w:r>
        <w:t xml:space="preserve"> Strong seasonal vegetation growth correlates with typical phenology but shows a mid-term decline in 2025, potentially due to environmental stressors.</w:t>
      </w:r>
    </w:p>
    <w:p>
      <w:r>
        <w:t>-</w:t>
      </w:r>
    </w:p>
    <w:p>
      <w:r>
        <w:br w:type="page"/>
      </w:r>
    </w:p>
    <w:p>
      <w:pPr>
        <w:pStyle w:val="Heading1"/>
      </w:pPr>
      <w:r>
        <w:t>Raw Geospatial Statistics (GEE)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NDVI (Veg)</w:t>
            </w:r>
          </w:p>
        </w:tc>
        <w:tc>
          <w:tcPr>
            <w:tcW w:type="dxa" w:w="1728"/>
          </w:tcPr>
          <w:p>
            <w:r>
              <w:t>NDWI (Water)</w:t>
            </w:r>
          </w:p>
        </w:tc>
        <w:tc>
          <w:tcPr>
            <w:tcW w:type="dxa" w:w="1728"/>
          </w:tcPr>
          <w:p>
            <w:r>
              <w:t>NDBI (Urban)</w:t>
            </w:r>
          </w:p>
        </w:tc>
        <w:tc>
          <w:tcPr>
            <w:tcW w:type="dxa" w:w="1728"/>
          </w:tcPr>
          <w:p>
            <w:r>
              <w:t>NBR (Burn)</w:t>
            </w:r>
          </w:p>
        </w:tc>
      </w:tr>
      <w:tr>
        <w:tc>
          <w:tcPr>
            <w:tcW w:type="dxa" w:w="1728"/>
          </w:tcPr>
          <w:p>
            <w:r>
              <w:t>2023-09</w:t>
            </w:r>
          </w:p>
        </w:tc>
        <w:tc>
          <w:tcPr>
            <w:tcW w:type="dxa" w:w="1728"/>
          </w:tcPr>
          <w:p>
            <w:r>
              <w:t>0.392</w:t>
            </w:r>
          </w:p>
        </w:tc>
        <w:tc>
          <w:tcPr>
            <w:tcW w:type="dxa" w:w="1728"/>
          </w:tcPr>
          <w:p>
            <w:r>
              <w:t>-0.298</w:t>
            </w:r>
          </w:p>
        </w:tc>
        <w:tc>
          <w:tcPr>
            <w:tcW w:type="dxa" w:w="1728"/>
          </w:tcPr>
          <w:p>
            <w:r>
              <w:t>-0.231</w:t>
            </w:r>
          </w:p>
        </w:tc>
        <w:tc>
          <w:tcPr>
            <w:tcW w:type="dxa" w:w="1728"/>
          </w:tcPr>
          <w:p>
            <w:r>
              <w:t>0.374</w:t>
            </w:r>
          </w:p>
        </w:tc>
      </w:tr>
      <w:tr>
        <w:tc>
          <w:tcPr>
            <w:tcW w:type="dxa" w:w="1728"/>
          </w:tcPr>
          <w:p>
            <w:r>
              <w:t>2023-12</w:t>
            </w:r>
          </w:p>
        </w:tc>
        <w:tc>
          <w:tcPr>
            <w:tcW w:type="dxa" w:w="1728"/>
          </w:tcPr>
          <w:p>
            <w:r>
              <w:t>0.292</w:t>
            </w:r>
          </w:p>
        </w:tc>
        <w:tc>
          <w:tcPr>
            <w:tcW w:type="dxa" w:w="1728"/>
          </w:tcPr>
          <w:p>
            <w:r>
              <w:t>-0.234</w:t>
            </w:r>
          </w:p>
        </w:tc>
        <w:tc>
          <w:tcPr>
            <w:tcW w:type="dxa" w:w="1728"/>
          </w:tcPr>
          <w:p>
            <w:r>
              <w:t>-0.135</w:t>
            </w:r>
          </w:p>
        </w:tc>
        <w:tc>
          <w:tcPr>
            <w:tcW w:type="dxa" w:w="1728"/>
          </w:tcPr>
          <w:p>
            <w:r>
              <w:t>0.267</w:t>
            </w:r>
          </w:p>
        </w:tc>
      </w:tr>
      <w:tr>
        <w:tc>
          <w:tcPr>
            <w:tcW w:type="dxa" w:w="1728"/>
          </w:tcPr>
          <w:p>
            <w:r>
              <w:t>2024-03</w:t>
            </w:r>
          </w:p>
        </w:tc>
        <w:tc>
          <w:tcPr>
            <w:tcW w:type="dxa" w:w="1728"/>
          </w:tcPr>
          <w:p>
            <w:r>
              <w:t>0.308</w:t>
            </w:r>
          </w:p>
        </w:tc>
        <w:tc>
          <w:tcPr>
            <w:tcW w:type="dxa" w:w="1728"/>
          </w:tcPr>
          <w:p>
            <w:r>
              <w:t>-0.26</w:t>
            </w:r>
          </w:p>
        </w:tc>
        <w:tc>
          <w:tcPr>
            <w:tcW w:type="dxa" w:w="1728"/>
          </w:tcPr>
          <w:p>
            <w:r>
              <w:t>-0.189</w:t>
            </w:r>
          </w:p>
        </w:tc>
        <w:tc>
          <w:tcPr>
            <w:tcW w:type="dxa" w:w="1728"/>
          </w:tcPr>
          <w:p>
            <w:r>
              <w:t>0.321</w:t>
            </w:r>
          </w:p>
        </w:tc>
      </w:tr>
      <w:tr>
        <w:tc>
          <w:tcPr>
            <w:tcW w:type="dxa" w:w="1728"/>
          </w:tcPr>
          <w:p>
            <w:r>
              <w:t>2024-06</w:t>
            </w:r>
          </w:p>
        </w:tc>
        <w:tc>
          <w:tcPr>
            <w:tcW w:type="dxa" w:w="1728"/>
          </w:tcPr>
          <w:p>
            <w:r>
              <w:t>0.34</w:t>
            </w:r>
          </w:p>
        </w:tc>
        <w:tc>
          <w:tcPr>
            <w:tcW w:type="dxa" w:w="1728"/>
          </w:tcPr>
          <w:p>
            <w:r>
              <w:t>-0.281</w:t>
            </w:r>
          </w:p>
        </w:tc>
        <w:tc>
          <w:tcPr>
            <w:tcW w:type="dxa" w:w="1728"/>
          </w:tcPr>
          <w:p>
            <w:r>
              <w:t>-0.142</w:t>
            </w:r>
          </w:p>
        </w:tc>
        <w:tc>
          <w:tcPr>
            <w:tcW w:type="dxa" w:w="1728"/>
          </w:tcPr>
          <w:p>
            <w:r>
              <w:t>0.283</w:t>
            </w:r>
          </w:p>
        </w:tc>
      </w:tr>
      <w:tr>
        <w:tc>
          <w:tcPr>
            <w:tcW w:type="dxa" w:w="1728"/>
          </w:tcPr>
          <w:p>
            <w:r>
              <w:t>2024-09</w:t>
            </w:r>
          </w:p>
        </w:tc>
        <w:tc>
          <w:tcPr>
            <w:tcW w:type="dxa" w:w="1728"/>
          </w:tcPr>
          <w:p>
            <w:r>
              <w:t>0.396</w:t>
            </w:r>
          </w:p>
        </w:tc>
        <w:tc>
          <w:tcPr>
            <w:tcW w:type="dxa" w:w="1728"/>
          </w:tcPr>
          <w:p>
            <w:r>
              <w:t>-0.327</w:t>
            </w:r>
          </w:p>
        </w:tc>
        <w:tc>
          <w:tcPr>
            <w:tcW w:type="dxa" w:w="1728"/>
          </w:tcPr>
          <w:p>
            <w:r>
              <w:t>-0.185</w:t>
            </w:r>
          </w:p>
        </w:tc>
        <w:tc>
          <w:tcPr>
            <w:tcW w:type="dxa" w:w="1728"/>
          </w:tcPr>
          <w:p>
            <w:r>
              <w:t>0.329</w:t>
            </w:r>
          </w:p>
        </w:tc>
      </w:tr>
      <w:tr>
        <w:tc>
          <w:tcPr>
            <w:tcW w:type="dxa" w:w="1728"/>
          </w:tcPr>
          <w:p>
            <w:r>
              <w:t>2024-12</w:t>
            </w:r>
          </w:p>
        </w:tc>
        <w:tc>
          <w:tcPr>
            <w:tcW w:type="dxa" w:w="1728"/>
          </w:tcPr>
          <w:p>
            <w:r>
              <w:t>0.296</w:t>
            </w:r>
          </w:p>
        </w:tc>
        <w:tc>
          <w:tcPr>
            <w:tcW w:type="dxa" w:w="1728"/>
          </w:tcPr>
          <w:p>
            <w:r>
              <w:t>-0.231</w:t>
            </w:r>
          </w:p>
        </w:tc>
        <w:tc>
          <w:tcPr>
            <w:tcW w:type="dxa" w:w="1728"/>
          </w:tcPr>
          <w:p>
            <w:r>
              <w:t>-0.168</w:t>
            </w:r>
          </w:p>
        </w:tc>
        <w:tc>
          <w:tcPr>
            <w:tcW w:type="dxa" w:w="1728"/>
          </w:tcPr>
          <w:p>
            <w:r>
              <w:t>0.279</w:t>
            </w:r>
          </w:p>
        </w:tc>
      </w:tr>
      <w:tr>
        <w:tc>
          <w:tcPr>
            <w:tcW w:type="dxa" w:w="1728"/>
          </w:tcPr>
          <w:p>
            <w:r>
              <w:t>2025-03</w:t>
            </w:r>
          </w:p>
        </w:tc>
        <w:tc>
          <w:tcPr>
            <w:tcW w:type="dxa" w:w="1728"/>
          </w:tcPr>
          <w:p>
            <w:r>
              <w:t>0.299</w:t>
            </w:r>
          </w:p>
        </w:tc>
        <w:tc>
          <w:tcPr>
            <w:tcW w:type="dxa" w:w="1728"/>
          </w:tcPr>
          <w:p>
            <w:r>
              <w:t>-0.261</w:t>
            </w:r>
          </w:p>
        </w:tc>
        <w:tc>
          <w:tcPr>
            <w:tcW w:type="dxa" w:w="1728"/>
          </w:tcPr>
          <w:p>
            <w:r>
              <w:t>-0.168</w:t>
            </w:r>
          </w:p>
        </w:tc>
        <w:tc>
          <w:tcPr>
            <w:tcW w:type="dxa" w:w="1728"/>
          </w:tcPr>
          <w:p>
            <w:r>
              <w:t>0.304</w:t>
            </w:r>
          </w:p>
        </w:tc>
      </w:tr>
      <w:tr>
        <w:tc>
          <w:tcPr>
            <w:tcW w:type="dxa" w:w="1728"/>
          </w:tcPr>
          <w:p>
            <w:r>
              <w:t>2025-06</w:t>
            </w:r>
          </w:p>
        </w:tc>
        <w:tc>
          <w:tcPr>
            <w:tcW w:type="dxa" w:w="1728"/>
          </w:tcPr>
          <w:p>
            <w:r>
              <w:t>0.209</w:t>
            </w:r>
          </w:p>
        </w:tc>
        <w:tc>
          <w:tcPr>
            <w:tcW w:type="dxa" w:w="1728"/>
          </w:tcPr>
          <w:p>
            <w:r>
              <w:t>-0.168</w:t>
            </w:r>
          </w:p>
        </w:tc>
        <w:tc>
          <w:tcPr>
            <w:tcW w:type="dxa" w:w="1728"/>
          </w:tcPr>
          <w:p>
            <w:r>
              <w:t>-0.092</w:t>
            </w:r>
          </w:p>
        </w:tc>
        <w:tc>
          <w:tcPr>
            <w:tcW w:type="dxa" w:w="1728"/>
          </w:tcPr>
          <w:p>
            <w:r>
              <w:t>0.21</w:t>
            </w:r>
          </w:p>
        </w:tc>
      </w:tr>
      <w:tr>
        <w:tc>
          <w:tcPr>
            <w:tcW w:type="dxa" w:w="1728"/>
          </w:tcPr>
          <w:p>
            <w:r>
              <w:t>2025-09</w:t>
            </w:r>
          </w:p>
        </w:tc>
        <w:tc>
          <w:tcPr>
            <w:tcW w:type="dxa" w:w="1728"/>
          </w:tcPr>
          <w:p>
            <w:r>
              <w:t>0.197</w:t>
            </w:r>
          </w:p>
        </w:tc>
        <w:tc>
          <w:tcPr>
            <w:tcW w:type="dxa" w:w="1728"/>
          </w:tcPr>
          <w:p>
            <w:r>
              <w:t>-0.117</w:t>
            </w:r>
          </w:p>
        </w:tc>
        <w:tc>
          <w:tcPr>
            <w:tcW w:type="dxa" w:w="1728"/>
          </w:tcPr>
          <w:p>
            <w:r>
              <w:t>-0.149</w:t>
            </w:r>
          </w:p>
        </w:tc>
        <w:tc>
          <w:tcPr>
            <w:tcW w:type="dxa" w:w="1728"/>
          </w:tcPr>
          <w:p>
            <w:r>
              <w:t>0.302</w:t>
            </w:r>
          </w:p>
        </w:tc>
      </w:tr>
      <w:tr>
        <w:tc>
          <w:tcPr>
            <w:tcW w:type="dxa" w:w="1728"/>
          </w:tcPr>
          <w:p>
            <w:r>
              <w:t>2025-12</w:t>
            </w:r>
          </w:p>
        </w:tc>
        <w:tc>
          <w:tcPr>
            <w:tcW w:type="dxa" w:w="1728"/>
          </w:tcPr>
          <w:p>
            <w:r>
              <w:t>0.358</w:t>
            </w:r>
          </w:p>
        </w:tc>
        <w:tc>
          <w:tcPr>
            <w:tcW w:type="dxa" w:w="1728"/>
          </w:tcPr>
          <w:p>
            <w:r>
              <w:t>-0.257</w:t>
            </w:r>
          </w:p>
        </w:tc>
        <w:tc>
          <w:tcPr>
            <w:tcW w:type="dxa" w:w="1728"/>
          </w:tcPr>
          <w:p>
            <w:r>
              <w:t>-0.167</w:t>
            </w:r>
          </w:p>
        </w:tc>
        <w:tc>
          <w:tcPr>
            <w:tcW w:type="dxa" w:w="1728"/>
          </w:tcPr>
          <w:p>
            <w:r>
              <w:t>0.336</w:t>
            </w:r>
          </w:p>
        </w:tc>
      </w:tr>
      <w:tr>
        <w:tc>
          <w:tcPr>
            <w:tcW w:type="dxa" w:w="1728"/>
          </w:tcPr>
          <w:p>
            <w:r>
              <w:t>2026-03</w:t>
            </w:r>
          </w:p>
        </w:tc>
        <w:tc>
          <w:tcPr>
            <w:tcW w:type="dxa" w:w="1728"/>
          </w:tcPr>
          <w:p>
            <w:r>
              <w:t>0.344</w:t>
            </w:r>
          </w:p>
        </w:tc>
        <w:tc>
          <w:tcPr>
            <w:tcW w:type="dxa" w:w="1728"/>
          </w:tcPr>
          <w:p>
            <w:r>
              <w:t>-0.385</w:t>
            </w:r>
          </w:p>
        </w:tc>
        <w:tc>
          <w:tcPr>
            <w:tcW w:type="dxa" w:w="1728"/>
          </w:tcPr>
          <w:p>
            <w:r>
              <w:t>-0.028</w:t>
            </w:r>
          </w:p>
        </w:tc>
        <w:tc>
          <w:tcPr>
            <w:tcW w:type="dxa" w:w="1728"/>
          </w:tcPr>
          <w:p>
            <w:r>
              <w:t>0.172</w:t>
            </w:r>
          </w:p>
        </w:tc>
      </w:tr>
    </w:tbl>
    <w:p/>
    <w:p>
      <w:r>
        <w:br w:type="page"/>
      </w:r>
    </w:p>
    <w:p>
      <w:pPr>
        <w:pStyle w:val="Heading1"/>
      </w:pPr>
      <w:r>
        <w:t>Latest Geospatial Index Visualizations</w:t>
      </w:r>
    </w:p>
    <w:p>
      <w:pPr>
        <w:pStyle w:val="Heading2"/>
      </w:pPr>
      <w:r>
        <w:t>Normalized Difference Vegetation Index (NDVI)</w:t>
      </w:r>
    </w:p>
    <w:p>
      <w:pPr>
        <w:pStyle w:val="ListBullet"/>
      </w:pPr>
      <w:r>
        <w:t>Measures the density and health of vegetation in the area.</w:t>
      </w:r>
    </w:p>
    <w:p>
      <w:pPr>
        <w:pStyle w:val="ListBullet"/>
      </w:pPr>
      <w:r>
        <w:t>🔴 Red/Orange: Barren land or built-up areas | 🟢 Green: Dense, healthy vegetation.</w:t>
      </w:r>
    </w:p>
    <w:p>
      <w:r>
        <w:drawing>
          <wp:inline xmlns:a="http://schemas.openxmlformats.org/drawingml/2006/main" xmlns:pic="http://schemas.openxmlformats.org/drawingml/2006/picture">
            <wp:extent cx="4114800" cy="418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884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Normalized Difference Water Index (NDWI)</w:t>
      </w:r>
    </w:p>
    <w:p>
      <w:pPr>
        <w:pStyle w:val="ListBullet"/>
      </w:pPr>
      <w:r>
        <w:t>Highlights water bodies and tracks moisture content in plants and soil.</w:t>
      </w:r>
    </w:p>
    <w:p>
      <w:pPr>
        <w:pStyle w:val="ListBullet"/>
      </w:pPr>
      <w:r>
        <w:t>⚪ White/Light Blue: Dry land or shallow water | 🔵 Deep Blue: Deep, clear water bodies.</w:t>
      </w:r>
    </w:p>
    <w:p>
      <w:r>
        <w:drawing>
          <wp:inline xmlns:a="http://schemas.openxmlformats.org/drawingml/2006/main" xmlns:pic="http://schemas.openxmlformats.org/drawingml/2006/picture">
            <wp:extent cx="4114800" cy="418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884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Normalized Difference Built-up Index (NDBI)</w:t>
      </w:r>
    </w:p>
    <w:p>
      <w:pPr>
        <w:pStyle w:val="ListBullet"/>
      </w:pPr>
      <w:r>
        <w:t>Emphasizes urban areas, buildings, and impervious surfaces.</w:t>
      </w:r>
    </w:p>
    <w:p>
      <w:pPr>
        <w:pStyle w:val="ListBullet"/>
      </w:pPr>
      <w:r>
        <w:t>⚪ White/Yellow: Non-urban areas or vegetation | 🔴 Red: Dense urban built-up areas.</w:t>
      </w:r>
    </w:p>
    <w:p>
      <w:r>
        <w:drawing>
          <wp:inline xmlns:a="http://schemas.openxmlformats.org/drawingml/2006/main" xmlns:pic="http://schemas.openxmlformats.org/drawingml/2006/picture">
            <wp:extent cx="4114800" cy="4188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884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Normalized Burn Ratio (NBR)</w:t>
      </w:r>
    </w:p>
    <w:p>
      <w:pPr>
        <w:pStyle w:val="ListBullet"/>
      </w:pPr>
      <w:r>
        <w:t>Used to identify burned areas, fire severity, and vegetation survival.</w:t>
      </w:r>
    </w:p>
    <w:p>
      <w:pPr>
        <w:pStyle w:val="ListBullet"/>
      </w:pPr>
      <w:r>
        <w:t>🟡 Yellow/Orange: Healthy vegetation or unburned land | ⚫ Dark Red/Black: Severe burn scars.</w:t>
      </w:r>
    </w:p>
    <w:p>
      <w:r>
        <w:drawing>
          <wp:inline xmlns:a="http://schemas.openxmlformats.org/drawingml/2006/main" xmlns:pic="http://schemas.openxmlformats.org/drawingml/2006/picture">
            <wp:extent cx="4114800" cy="4188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884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Time-Lapse Video</w:t>
      </w:r>
    </w:p>
    <w:p>
      <w:r>
        <w:t xml:space="preserve">View the generated time-lapse animation here: </w:t>
      </w:r>
      <w:r>
        <w:rPr>
          <w:u w:val="single"/>
        </w:rPr>
        <w:t>https://earthengine.googleapis.com/v1/projects/gen-lang-client-0663284532/videoThumbnails/ddf59c8527c2c73f101a6c81c689e392-b9f95447d2e9bdd7785e4e7f5c979e35:getPixels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