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666666"/>
          <w:sz w:val="26"/>
        </w:rPr>
        <w:t>Amazon ML Challenge 2026</w:t>
      </w:r>
    </w:p>
    <w:p>
      <w:pPr>
        <w:jc w:val="center"/>
      </w:pPr>
      <w:r>
        <w:rPr>
          <w:b/>
          <w:color w:val="1F3A5F"/>
          <w:sz w:val="60"/>
        </w:rPr>
        <w:t>Business Entity Resolution</w:t>
      </w:r>
    </w:p>
    <w:p>
      <w:pPr>
        <w:jc w:val="center"/>
      </w:pPr>
      <w:r>
        <w:rPr>
          <w:i/>
          <w:sz w:val="26"/>
        </w:rPr>
        <w:t>Problem Statement, Solution Design (TRICE) and Evaluation Results</w:t>
      </w:r>
    </w:p>
    <w:p/>
    <w:p>
      <w:pPr>
        <w:jc w:val="center"/>
      </w:pPr>
      <w:r>
        <w:rPr>
          <w:color w:val="444444"/>
          <w:sz w:val="19"/>
        </w:rPr>
        <w:t>TRICE  =  Tripartite message passing  |  Reciprocal competition normalisation  |  In-domain noise replay  |  Country-conditional calibration  |  Expected-F0.5 set selection</w:t>
      </w:r>
    </w:p>
    <w:p/>
    <w:p/>
    <w:tbl>
      <w:tblPr>
        <w:tblStyle w:val="TableGrid"/>
        <w:tblW w:type="auto" w:w="0"/>
        <w:jc w:val="center"/>
        <w:tblLook w:firstColumn="1" w:firstRow="1" w:lastColumn="0" w:lastRow="0" w:noHBand="0" w:noVBand="1" w:val="04A0"/>
      </w:tblPr>
      <w:tblGrid>
        <w:gridCol w:w="4752"/>
        <w:gridCol w:w="4752"/>
      </w:tblGrid>
      <w:tr>
        <w:tc>
          <w:tcPr>
            <w:tcW w:type="dxa" w:w="4464"/>
          </w:tcPr>
          <w:p>
            <w:r>
              <w:rPr>
                <w:b/>
                <w:sz w:val="19"/>
              </w:rPr>
              <w:t>Validation macro F0.5 (expected-F0.5 rule)</w:t>
            </w:r>
          </w:p>
        </w:tc>
        <w:tc>
          <w:tcPr>
            <w:tcW w:type="dxa" w:w="3744"/>
          </w:tcPr>
          <w:p>
            <w:r>
              <w:rPr>
                <w:rFonts w:ascii="Consolas" w:hAnsi="Consolas"/>
                <w:sz w:val="19"/>
              </w:rPr>
              <w:t>0.89520</w:t>
            </w:r>
          </w:p>
        </w:tc>
      </w:tr>
      <w:tr>
        <w:tc>
          <w:tcPr>
            <w:tcW w:type="dxa" w:w="4464"/>
          </w:tcPr>
          <w:p>
            <w:r>
              <w:rPr>
                <w:b/>
                <w:sz w:val="19"/>
              </w:rPr>
              <w:t>Macro precision / macro recall</w:t>
            </w:r>
          </w:p>
        </w:tc>
        <w:tc>
          <w:tcPr>
            <w:tcW w:type="dxa" w:w="3744"/>
          </w:tcPr>
          <w:p>
            <w:r>
              <w:rPr>
                <w:rFonts w:ascii="Consolas" w:hAnsi="Consolas"/>
                <w:sz w:val="19"/>
              </w:rPr>
              <w:t>0.9347  /  0.8242</w:t>
            </w:r>
          </w:p>
        </w:tc>
      </w:tr>
      <w:tr>
        <w:tc>
          <w:tcPr>
            <w:tcW w:type="dxa" w:w="4464"/>
          </w:tcPr>
          <w:p>
            <w:r>
              <w:rPr>
                <w:b/>
                <w:sz w:val="19"/>
              </w:rPr>
              <w:t>Best tuned global threshold</w:t>
            </w:r>
          </w:p>
        </w:tc>
        <w:tc>
          <w:tcPr>
            <w:tcW w:type="dxa" w:w="3744"/>
          </w:tcPr>
          <w:p>
            <w:r>
              <w:rPr>
                <w:rFonts w:ascii="Consolas" w:hAnsi="Consolas"/>
                <w:sz w:val="19"/>
              </w:rPr>
              <w:t>threshold@0.5 = 0.89469</w:t>
            </w:r>
          </w:p>
        </w:tc>
      </w:tr>
      <w:tr>
        <w:tc>
          <w:tcPr>
            <w:tcW w:type="dxa" w:w="4464"/>
          </w:tcPr>
          <w:p>
            <w:r>
              <w:rPr>
                <w:b/>
                <w:sz w:val="19"/>
              </w:rPr>
              <w:t>Stage-1 matcher val AUC / AP</w:t>
            </w:r>
          </w:p>
        </w:tc>
        <w:tc>
          <w:tcPr>
            <w:tcW w:type="dxa" w:w="3744"/>
          </w:tcPr>
          <w:p>
            <w:r>
              <w:rPr>
                <w:rFonts w:ascii="Consolas" w:hAnsi="Consolas"/>
                <w:sz w:val="19"/>
              </w:rPr>
              <w:t>0.99935  /  0.99441</w:t>
            </w:r>
          </w:p>
        </w:tc>
      </w:tr>
      <w:tr>
        <w:tc>
          <w:tcPr>
            <w:tcW w:type="dxa" w:w="4464"/>
          </w:tcPr>
          <w:p>
            <w:r>
              <w:rPr>
                <w:b/>
                <w:sz w:val="19"/>
              </w:rPr>
              <w:t>Blocking macro recall (overall)</w:t>
            </w:r>
          </w:p>
        </w:tc>
        <w:tc>
          <w:tcPr>
            <w:tcW w:type="dxa" w:w="3744"/>
          </w:tcPr>
          <w:p>
            <w:r>
              <w:rPr>
                <w:rFonts w:ascii="Consolas" w:hAnsi="Consolas"/>
                <w:sz w:val="19"/>
              </w:rPr>
              <w:t>0.8602</w:t>
            </w:r>
          </w:p>
        </w:tc>
      </w:tr>
      <w:tr>
        <w:tc>
          <w:tcPr>
            <w:tcW w:type="dxa" w:w="4464"/>
          </w:tcPr>
          <w:p>
            <w:r>
              <w:rPr>
                <w:b/>
                <w:sz w:val="19"/>
              </w:rPr>
              <w:t>Calibration ECE (overall)</w:t>
            </w:r>
          </w:p>
        </w:tc>
        <w:tc>
          <w:tcPr>
            <w:tcW w:type="dxa" w:w="3744"/>
          </w:tcPr>
          <w:p>
            <w:r>
              <w:rPr>
                <w:rFonts w:ascii="Consolas" w:hAnsi="Consolas"/>
                <w:sz w:val="19"/>
              </w:rPr>
              <w:t>0.00633</w:t>
            </w:r>
          </w:p>
        </w:tc>
      </w:tr>
      <w:tr>
        <w:tc>
          <w:tcPr>
            <w:tcW w:type="dxa" w:w="4464"/>
          </w:tcPr>
          <w:p>
            <w:r>
              <w:rPr>
                <w:b/>
                <w:sz w:val="19"/>
              </w:rPr>
              <w:t>Evidence run</w:t>
            </w:r>
          </w:p>
        </w:tc>
        <w:tc>
          <w:tcPr>
            <w:tcW w:type="dxa" w:w="3744"/>
          </w:tcPr>
          <w:p>
            <w:r>
              <w:rPr>
                <w:rFonts w:ascii="Consolas" w:hAnsi="Consolas"/>
                <w:sz w:val="19"/>
              </w:rPr>
              <w:t>smoke  (2026-09-25T14:39:44Z)</w:t>
            </w:r>
          </w:p>
        </w:tc>
      </w:tr>
    </w:tbl>
    <w:p>
      <w:pPr>
        <w:spacing w:before="40" w:after="240"/>
      </w:pPr>
      <w:r>
        <w:rPr>
          <w:i/>
          <w:color w:val="606060"/>
          <w:sz w:val="17"/>
        </w:rPr>
        <w:t>Headline numbers. Full context and caveats in Part 3.</w:t>
      </w:r>
    </w:p>
    <w:p>
      <w:r>
        <w:br w:type="page"/>
      </w:r>
    </w:p>
    <w:p>
      <w:pPr>
        <w:pStyle w:val="Heading1"/>
      </w:pPr>
      <w:r>
        <w:t>Contents</w:t>
      </w:r>
    </w:p>
    <w:p>
      <w:pPr>
        <w:spacing w:after="40" w:before="160"/>
      </w:pPr>
      <w:r>
        <w:rPr>
          <w:b/>
          <w:color w:val="1F3A5F"/>
          <w:sz w:val="22"/>
        </w:rPr>
        <w:t>Part 1   The problem, in detail</w:t>
      </w:r>
    </w:p>
    <w:p>
      <w:pPr>
        <w:spacing w:after="40"/>
        <w:ind w:left="403"/>
      </w:pPr>
      <w:r>
        <w:rPr>
          <w:sz w:val="20"/>
        </w:rPr>
        <w:t>1.1   Task definition</w:t>
      </w:r>
    </w:p>
    <w:p>
      <w:pPr>
        <w:spacing w:after="40"/>
        <w:ind w:left="403"/>
      </w:pPr>
      <w:r>
        <w:rPr>
          <w:sz w:val="20"/>
        </w:rPr>
        <w:t>1.2   Data: files, schema and scale</w:t>
      </w:r>
    </w:p>
    <w:p>
      <w:pPr>
        <w:spacing w:after="40"/>
        <w:ind w:left="403"/>
      </w:pPr>
      <w:r>
        <w:rPr>
          <w:sz w:val="20"/>
        </w:rPr>
        <w:t>1.3   The observed corruption process</w:t>
      </w:r>
    </w:p>
    <w:p>
      <w:pPr>
        <w:spacing w:after="40"/>
        <w:ind w:left="403"/>
      </w:pPr>
      <w:r>
        <w:rPr>
          <w:sz w:val="20"/>
        </w:rPr>
        <w:t>1.4   Required output</w:t>
      </w:r>
    </w:p>
    <w:p>
      <w:pPr>
        <w:spacing w:after="40"/>
        <w:ind w:left="403"/>
      </w:pPr>
      <w:r>
        <w:rPr>
          <w:sz w:val="20"/>
        </w:rPr>
        <w:t>1.5   Evaluation metric and its closed form</w:t>
      </w:r>
    </w:p>
    <w:p>
      <w:pPr>
        <w:spacing w:after="40"/>
        <w:ind w:left="403"/>
      </w:pPr>
      <w:r>
        <w:rPr>
          <w:sz w:val="20"/>
        </w:rPr>
        <w:t>1.6   Constraints and rules</w:t>
      </w:r>
    </w:p>
    <w:p>
      <w:pPr>
        <w:spacing w:after="40"/>
        <w:ind w:left="403"/>
      </w:pPr>
      <w:r>
        <w:rPr>
          <w:sz w:val="20"/>
        </w:rPr>
        <w:t>1.7   Two exploitable structural facts</w:t>
      </w:r>
    </w:p>
    <w:p>
      <w:pPr>
        <w:spacing w:after="40" w:before="160"/>
      </w:pPr>
      <w:r>
        <w:rPr>
          <w:b/>
          <w:color w:val="1F3A5F"/>
          <w:sz w:val="22"/>
        </w:rPr>
        <w:t>Part 2   The solution idea: TRICE</w:t>
      </w:r>
    </w:p>
    <w:p>
      <w:pPr>
        <w:spacing w:after="40"/>
        <w:ind w:left="403"/>
      </w:pPr>
      <w:r>
        <w:rPr>
          <w:sz w:val="20"/>
        </w:rPr>
        <w:t>2.1   One-sentence version and what the obvious pipeline loses</w:t>
      </w:r>
    </w:p>
    <w:p>
      <w:pPr>
        <w:spacing w:after="40"/>
        <w:ind w:left="403"/>
      </w:pPr>
      <w:r>
        <w:rPr>
          <w:sz w:val="20"/>
        </w:rPr>
        <w:t>2.2   Stage E - exact expected-F0.5 set selection</w:t>
      </w:r>
    </w:p>
    <w:p>
      <w:pPr>
        <w:spacing w:after="40"/>
        <w:ind w:left="403"/>
      </w:pPr>
      <w:r>
        <w:rPr>
          <w:sz w:val="20"/>
        </w:rPr>
        <w:t>2.3   Stage T - tripartite message passing</w:t>
      </w:r>
    </w:p>
    <w:p>
      <w:pPr>
        <w:spacing w:after="40"/>
        <w:ind w:left="403"/>
      </w:pPr>
      <w:r>
        <w:rPr>
          <w:sz w:val="20"/>
        </w:rPr>
        <w:t>2.4   Stage R - reciprocal competition normalisation</w:t>
      </w:r>
    </w:p>
    <w:p>
      <w:pPr>
        <w:spacing w:after="40"/>
        <w:ind w:left="403"/>
      </w:pPr>
      <w:r>
        <w:rPr>
          <w:sz w:val="20"/>
        </w:rPr>
        <w:t>2.5   Stage I - in-domain noise replay</w:t>
      </w:r>
    </w:p>
    <w:p>
      <w:pPr>
        <w:spacing w:after="40"/>
        <w:ind w:left="403"/>
      </w:pPr>
      <w:r>
        <w:rPr>
          <w:sz w:val="20"/>
        </w:rPr>
        <w:t>2.6   Stage C - country-conditional calibration</w:t>
      </w:r>
    </w:p>
    <w:p>
      <w:pPr>
        <w:spacing w:after="40"/>
        <w:ind w:left="403"/>
      </w:pPr>
      <w:r>
        <w:rPr>
          <w:sz w:val="20"/>
        </w:rPr>
        <w:t>2.7   Full pipeline and feature inventory</w:t>
      </w:r>
    </w:p>
    <w:p>
      <w:pPr>
        <w:spacing w:after="40"/>
        <w:ind w:left="403"/>
      </w:pPr>
      <w:r>
        <w:rPr>
          <w:sz w:val="20"/>
        </w:rPr>
        <w:t>2.8   Novelty claims and risk register</w:t>
      </w:r>
    </w:p>
    <w:p>
      <w:pPr>
        <w:spacing w:after="40" w:before="160"/>
      </w:pPr>
      <w:r>
        <w:rPr>
          <w:b/>
          <w:color w:val="1F3A5F"/>
          <w:sz w:val="22"/>
        </w:rPr>
        <w:t>Part 3   Evaluation results</w:t>
      </w:r>
    </w:p>
    <w:p>
      <w:pPr>
        <w:spacing w:after="40"/>
        <w:ind w:left="403"/>
      </w:pPr>
      <w:r>
        <w:rPr>
          <w:sz w:val="20"/>
        </w:rPr>
        <w:t>3.1   Data-level findings</w:t>
      </w:r>
    </w:p>
    <w:p>
      <w:pPr>
        <w:spacing w:after="40"/>
        <w:ind w:left="403"/>
      </w:pPr>
      <w:r>
        <w:rPr>
          <w:sz w:val="20"/>
        </w:rPr>
        <w:t>3.2   Blocking: configuration sweep and recall ceiling</w:t>
      </w:r>
    </w:p>
    <w:p>
      <w:pPr>
        <w:spacing w:after="40"/>
        <w:ind w:left="403"/>
      </w:pPr>
      <w:r>
        <w:rPr>
          <w:sz w:val="20"/>
        </w:rPr>
        <w:t>3.3   Matcher quality</w:t>
      </w:r>
    </w:p>
    <w:p>
      <w:pPr>
        <w:spacing w:after="40"/>
        <w:ind w:left="403"/>
      </w:pPr>
      <w:r>
        <w:rPr>
          <w:sz w:val="20"/>
        </w:rPr>
        <w:t>3.4   Probability calibration</w:t>
      </w:r>
    </w:p>
    <w:p>
      <w:pPr>
        <w:spacing w:after="40"/>
        <w:ind w:left="403"/>
      </w:pPr>
      <w:r>
        <w:rPr>
          <w:sz w:val="20"/>
        </w:rPr>
        <w:t>3.5   Decision layer - rule comparison</w:t>
      </w:r>
    </w:p>
    <w:p>
      <w:pPr>
        <w:spacing w:after="40"/>
        <w:ind w:left="403"/>
      </w:pPr>
      <w:r>
        <w:rPr>
          <w:sz w:val="20"/>
        </w:rPr>
        <w:t>3.6   Feature evidence</w:t>
      </w:r>
    </w:p>
    <w:p>
      <w:pPr>
        <w:spacing w:after="40"/>
        <w:ind w:left="403"/>
      </w:pPr>
      <w:r>
        <w:rPr>
          <w:sz w:val="20"/>
        </w:rPr>
        <w:t>3.7   Runtime and resource profile</w:t>
      </w:r>
    </w:p>
    <w:p>
      <w:pPr>
        <w:spacing w:after="40"/>
        <w:ind w:left="403"/>
      </w:pPr>
      <w:r>
        <w:rPr>
          <w:sz w:val="20"/>
        </w:rPr>
        <w:t>3.8   Verdict, honest caveats and next actions</w:t>
      </w:r>
    </w:p>
    <w:p>
      <w:r>
        <w:br w:type="page"/>
      </w:r>
    </w:p>
    <w:p>
      <w:pPr>
        <w:pStyle w:val="Heading1"/>
      </w:pPr>
      <w:r>
        <w:t>Part 1 - The problem, in detail</w:t>
      </w:r>
    </w:p>
    <w:p>
      <w:pPr>
        <w:pStyle w:val="Heading2"/>
      </w:pPr>
      <w:r>
        <w:t>1.1  Task definition</w:t>
      </w:r>
    </w:p>
    <w:p>
      <w:r>
        <w:rPr>
          <w:b w:val="0"/>
          <w:i w:val="0"/>
        </w:rPr>
        <w:t>Business identity data arrives from three independent sources. Each source holds partial, noisy fragments describing the same real-world businesses, and the sources share no common identifier. Source 1 is already deduplicated and acts as the reference. For every Source 1 record the system must output the set of Source 2 and Source 3 records that refer to the same real-world business. That set may be empty, a single record, or many records.</w:t>
      </w:r>
    </w:p>
    <w:p>
      <w:r>
        <w:rPr>
          <w:b w:val="0"/>
          <w:i w:val="0"/>
        </w:rPr>
        <w:t>This is classic entity resolution with three structural twists that drive the entire design:</w:t>
      </w:r>
    </w:p>
    <w:p>
      <w:pPr>
        <w:pStyle w:val="ListNumber"/>
        <w:spacing w:after="40"/>
      </w:pPr>
      <w:r>
        <w:t>It is one-to-many set prediction, not pairwise classification. The unit of evaluation is the set emitted for each Source 1 entity.</w:t>
      </w:r>
    </w:p>
    <w:p>
      <w:pPr>
        <w:pStyle w:val="ListNumber"/>
        <w:spacing w:after="40"/>
      </w:pPr>
      <w:r>
        <w:t>Scoring is macro-averaged F0.5 per Source 1 entity, so every entity carries equal weight regardless of how many matches it has, and a correctly predicted empty set scores a full 1.0.</w:t>
      </w:r>
    </w:p>
    <w:p>
      <w:pPr>
        <w:pStyle w:val="ListNumber"/>
        <w:spacing w:after="40"/>
      </w:pPr>
      <w:r>
        <w:t>The test set contains a country that never appears in training (France), so the model must generalise zero-shot across name and address conventions.</w:t>
      </w:r>
    </w:p>
    <w:p>
      <w:pPr>
        <w:pStyle w:val="Heading2"/>
      </w:pPr>
      <w:r>
        <w:t>1.2  Data: files, schema and scale</w:t>
      </w:r>
    </w:p>
    <w:p>
      <w:r>
        <w:rPr>
          <w:b w:val="0"/>
          <w:i w:val="0"/>
        </w:rPr>
        <w:t>All files are tab-separated. Tabs are used because both the address field and the ID-list columns contain commas; reading without an explicit tab separator silently collapses each line into one column.</w:t>
      </w:r>
    </w:p>
    <w:p>
      <w:pPr>
        <w:pStyle w:val="Heading3"/>
      </w:pPr>
      <w:r>
        <w:t>1.2.1  Record schema</w:t>
      </w:r>
    </w:p>
    <w:tbl>
      <w:tblPr>
        <w:tblStyle w:val="TableGrid"/>
        <w:tblW w:type="auto" w:w="0"/>
        <w:jc w:val="center"/>
        <w:tblLayout w:type="autofit"/>
        <w:tblLook w:firstColumn="1" w:firstRow="1" w:lastColumn="0" w:lastRow="0" w:noHBand="0" w:noVBand="1" w:val="04A0"/>
      </w:tblPr>
      <w:tblGrid>
        <w:gridCol w:w="4752"/>
        <w:gridCol w:w="4752"/>
      </w:tblGrid>
      <w:tr>
        <w:tc>
          <w:tcPr>
            <w:tcW w:type="dxa" w:w="2160"/>
            <w:shd w:val="clear" w:color="auto" w:fill="1F3A5F"/>
          </w:tcPr>
          <w:p>
            <w:pPr>
              <w:spacing w:after="20"/>
            </w:pPr>
            <w:r/>
            <w:r>
              <w:rPr>
                <w:b/>
                <w:color w:val="FFFFFF"/>
                <w:sz w:val="18"/>
              </w:rPr>
              <w:t>Column</w:t>
            </w:r>
          </w:p>
        </w:tc>
        <w:tc>
          <w:tcPr>
            <w:tcW w:type="dxa" w:w="6768"/>
            <w:shd w:val="clear" w:color="auto" w:fill="1F3A5F"/>
          </w:tcPr>
          <w:p>
            <w:pPr>
              <w:spacing w:after="20"/>
            </w:pPr>
            <w:r/>
            <w:r>
              <w:rPr>
                <w:b/>
                <w:color w:val="FFFFFF"/>
                <w:sz w:val="18"/>
              </w:rPr>
              <w:t>Description</w:t>
            </w:r>
          </w:p>
        </w:tc>
      </w:tr>
      <w:tr>
        <w:tc>
          <w:tcPr>
            <w:tcW w:type="dxa" w:w="2160"/>
          </w:tcPr>
          <w:p>
            <w:pPr>
              <w:spacing w:after="20"/>
            </w:pPr>
            <w:r/>
            <w:r>
              <w:rPr>
                <w:sz w:val="18"/>
              </w:rPr>
              <w:t>entity_id</w:t>
            </w:r>
          </w:p>
        </w:tc>
        <w:tc>
          <w:tcPr>
            <w:tcW w:type="dxa" w:w="6768"/>
          </w:tcPr>
          <w:p>
            <w:pPr>
              <w:spacing w:after="20"/>
            </w:pPr>
            <w:r/>
            <w:r>
              <w:rPr>
                <w:sz w:val="18"/>
              </w:rPr>
              <w:t>Unique record id. The prefix encodes the source: S1-, S2-, S3-.</w:t>
            </w:r>
          </w:p>
        </w:tc>
      </w:tr>
      <w:tr>
        <w:tc>
          <w:tcPr>
            <w:tcW w:type="dxa" w:w="2160"/>
            <w:shd w:val="clear" w:color="auto" w:fill="F5F7FA"/>
          </w:tcPr>
          <w:p>
            <w:pPr>
              <w:spacing w:after="20"/>
            </w:pPr>
            <w:r/>
            <w:r>
              <w:rPr>
                <w:sz w:val="18"/>
              </w:rPr>
              <w:t>business_name</w:t>
            </w:r>
          </w:p>
        </w:tc>
        <w:tc>
          <w:tcPr>
            <w:tcW w:type="dxa" w:w="6768"/>
            <w:shd w:val="clear" w:color="auto" w:fill="F5F7FA"/>
          </w:tcPr>
          <w:p>
            <w:pPr>
              <w:spacing w:after="20"/>
            </w:pPr>
            <w:r/>
            <w:r>
              <w:rPr>
                <w:sz w:val="18"/>
              </w:rPr>
              <w:t>Business name. Abbreviations, legal suffixes, typos, transliterations.</w:t>
            </w:r>
          </w:p>
        </w:tc>
      </w:tr>
      <w:tr>
        <w:tc>
          <w:tcPr>
            <w:tcW w:type="dxa" w:w="2160"/>
          </w:tcPr>
          <w:p>
            <w:pPr>
              <w:spacing w:after="20"/>
            </w:pPr>
            <w:r/>
            <w:r>
              <w:rPr>
                <w:sz w:val="18"/>
              </w:rPr>
              <w:t>business_address</w:t>
            </w:r>
          </w:p>
        </w:tc>
        <w:tc>
          <w:tcPr>
            <w:tcW w:type="dxa" w:w="6768"/>
          </w:tcPr>
          <w:p>
            <w:pPr>
              <w:spacing w:after="20"/>
            </w:pPr>
            <w:r/>
            <w:r>
              <w:rPr>
                <w:sz w:val="18"/>
              </w:rPr>
              <w:t>Address. May be partial, reformatted, missing components, or landmark-based.</w:t>
            </w:r>
          </w:p>
        </w:tc>
      </w:tr>
      <w:tr>
        <w:tc>
          <w:tcPr>
            <w:tcW w:type="dxa" w:w="2160"/>
            <w:shd w:val="clear" w:color="auto" w:fill="F5F7FA"/>
          </w:tcPr>
          <w:p>
            <w:pPr>
              <w:spacing w:after="20"/>
            </w:pPr>
            <w:r/>
            <w:r>
              <w:rPr>
                <w:sz w:val="18"/>
              </w:rPr>
              <w:t>country</w:t>
            </w:r>
          </w:p>
        </w:tc>
        <w:tc>
          <w:tcPr>
            <w:tcW w:type="dxa" w:w="6768"/>
            <w:shd w:val="clear" w:color="auto" w:fill="F5F7FA"/>
          </w:tcPr>
          <w:p>
            <w:pPr>
              <w:spacing w:after="20"/>
            </w:pPr>
            <w:r/>
            <w:r>
              <w:rPr>
                <w:sz w:val="18"/>
              </w:rPr>
              <w:t>Country label. Train covers US and India; test additionally has France.</w:t>
            </w:r>
          </w:p>
        </w:tc>
      </w:tr>
    </w:tbl>
    <w:p>
      <w:pPr>
        <w:spacing w:after="0"/>
      </w:pPr>
    </w:p>
    <w:p>
      <w:pPr>
        <w:spacing w:before="40" w:after="240"/>
      </w:pPr>
      <w:r>
        <w:rPr>
          <w:i/>
          <w:color w:val="606060"/>
          <w:sz w:val="17"/>
        </w:rPr>
        <w:t>There is no source column. A record's source comes from its entity_id prefix. The ground-truth file has two columns: source1_entity_id and a comma-separated matched_entity_ids list, empty for entities with no match.</w:t>
      </w:r>
    </w:p>
    <w:p>
      <w:pPr>
        <w:pStyle w:val="Heading3"/>
      </w:pPr>
      <w:r>
        <w:t>1.2.2  Measured scale</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744"/>
            <w:shd w:val="clear" w:color="auto" w:fill="1F3A5F"/>
          </w:tcPr>
          <w:p>
            <w:pPr>
              <w:spacing w:after="20"/>
            </w:pPr>
            <w:r/>
            <w:r>
              <w:rPr>
                <w:b/>
                <w:color w:val="FFFFFF"/>
                <w:sz w:val="18"/>
              </w:rPr>
              <w:t>File</w:t>
            </w:r>
          </w:p>
        </w:tc>
        <w:tc>
          <w:tcPr>
            <w:tcW w:type="dxa" w:w="2736"/>
            <w:shd w:val="clear" w:color="auto" w:fill="1F3A5F"/>
          </w:tcPr>
          <w:p>
            <w:pPr>
              <w:spacing w:after="20"/>
            </w:pPr>
            <w:r/>
            <w:r>
              <w:rPr>
                <w:b/>
                <w:color w:val="FFFFFF"/>
                <w:sz w:val="18"/>
              </w:rPr>
              <w:t>Rows</w:t>
            </w:r>
          </w:p>
        </w:tc>
        <w:tc>
          <w:tcPr>
            <w:tcW w:type="dxa" w:w="2160"/>
            <w:shd w:val="clear" w:color="auto" w:fill="1F3A5F"/>
          </w:tcPr>
          <w:p>
            <w:pPr>
              <w:spacing w:after="20"/>
            </w:pPr>
            <w:r/>
            <w:r>
              <w:rPr>
                <w:b/>
                <w:color w:val="FFFFFF"/>
                <w:sz w:val="18"/>
              </w:rPr>
              <w:t>Size</w:t>
            </w:r>
          </w:p>
        </w:tc>
      </w:tr>
      <w:tr>
        <w:tc>
          <w:tcPr>
            <w:tcW w:type="dxa" w:w="3744"/>
          </w:tcPr>
          <w:p>
            <w:pPr>
              <w:spacing w:after="20"/>
            </w:pPr>
            <w:r/>
            <w:r>
              <w:rPr>
                <w:sz w:val="18"/>
              </w:rPr>
              <w:t>train_source1.tsv</w:t>
            </w:r>
          </w:p>
        </w:tc>
        <w:tc>
          <w:tcPr>
            <w:tcW w:type="dxa" w:w="2736"/>
          </w:tcPr>
          <w:p>
            <w:pPr>
              <w:spacing w:after="20"/>
            </w:pPr>
            <w:r/>
            <w:r>
              <w:rPr>
                <w:sz w:val="18"/>
              </w:rPr>
              <w:t>2,206,821</w:t>
            </w:r>
          </w:p>
        </w:tc>
        <w:tc>
          <w:tcPr>
            <w:tcW w:type="dxa" w:w="2160"/>
          </w:tcPr>
          <w:p>
            <w:pPr>
              <w:spacing w:after="20"/>
            </w:pPr>
            <w:r/>
            <w:r>
              <w:rPr>
                <w:sz w:val="18"/>
              </w:rPr>
              <w:t>200 MB</w:t>
            </w:r>
          </w:p>
        </w:tc>
      </w:tr>
      <w:tr>
        <w:tc>
          <w:tcPr>
            <w:tcW w:type="dxa" w:w="3744"/>
            <w:shd w:val="clear" w:color="auto" w:fill="F5F7FA"/>
          </w:tcPr>
          <w:p>
            <w:pPr>
              <w:spacing w:after="20"/>
            </w:pPr>
            <w:r/>
            <w:r>
              <w:rPr>
                <w:sz w:val="18"/>
              </w:rPr>
              <w:t>train_source2.tsv</w:t>
            </w:r>
          </w:p>
        </w:tc>
        <w:tc>
          <w:tcPr>
            <w:tcW w:type="dxa" w:w="2736"/>
            <w:shd w:val="clear" w:color="auto" w:fill="F5F7FA"/>
          </w:tcPr>
          <w:p>
            <w:pPr>
              <w:spacing w:after="20"/>
            </w:pPr>
            <w:r/>
            <w:r>
              <w:rPr>
                <w:sz w:val="18"/>
              </w:rPr>
              <w:t>5,034,616</w:t>
            </w:r>
          </w:p>
        </w:tc>
        <w:tc>
          <w:tcPr>
            <w:tcW w:type="dxa" w:w="2160"/>
            <w:shd w:val="clear" w:color="auto" w:fill="F5F7FA"/>
          </w:tcPr>
          <w:p>
            <w:pPr>
              <w:spacing w:after="20"/>
            </w:pPr>
            <w:r/>
            <w:r>
              <w:rPr>
                <w:sz w:val="18"/>
              </w:rPr>
              <w:t>467 MB</w:t>
            </w:r>
          </w:p>
        </w:tc>
      </w:tr>
      <w:tr>
        <w:tc>
          <w:tcPr>
            <w:tcW w:type="dxa" w:w="3744"/>
          </w:tcPr>
          <w:p>
            <w:pPr>
              <w:spacing w:after="20"/>
            </w:pPr>
            <w:r/>
            <w:r>
              <w:rPr>
                <w:sz w:val="18"/>
              </w:rPr>
              <w:t>train_source3.tsv</w:t>
            </w:r>
          </w:p>
        </w:tc>
        <w:tc>
          <w:tcPr>
            <w:tcW w:type="dxa" w:w="2736"/>
          </w:tcPr>
          <w:p>
            <w:pPr>
              <w:spacing w:after="20"/>
            </w:pPr>
            <w:r/>
            <w:r>
              <w:rPr>
                <w:sz w:val="18"/>
              </w:rPr>
              <w:t>5,285,603</w:t>
            </w:r>
          </w:p>
        </w:tc>
        <w:tc>
          <w:tcPr>
            <w:tcW w:type="dxa" w:w="2160"/>
          </w:tcPr>
          <w:p>
            <w:pPr>
              <w:spacing w:after="20"/>
            </w:pPr>
            <w:r/>
            <w:r>
              <w:rPr>
                <w:sz w:val="18"/>
              </w:rPr>
              <w:t>480 MB</w:t>
            </w:r>
          </w:p>
        </w:tc>
      </w:tr>
      <w:tr>
        <w:tc>
          <w:tcPr>
            <w:tcW w:type="dxa" w:w="3744"/>
            <w:shd w:val="clear" w:color="auto" w:fill="F5F7FA"/>
          </w:tcPr>
          <w:p>
            <w:pPr>
              <w:spacing w:after="20"/>
            </w:pPr>
            <w:r/>
            <w:r>
              <w:rPr>
                <w:sz w:val="18"/>
              </w:rPr>
              <w:t>train_ground_truth.tsv</w:t>
            </w:r>
          </w:p>
        </w:tc>
        <w:tc>
          <w:tcPr>
            <w:tcW w:type="dxa" w:w="2736"/>
            <w:shd w:val="clear" w:color="auto" w:fill="F5F7FA"/>
          </w:tcPr>
          <w:p>
            <w:pPr>
              <w:spacing w:after="20"/>
            </w:pPr>
            <w:r/>
            <w:r>
              <w:rPr>
                <w:sz w:val="18"/>
              </w:rPr>
              <w:t>2,206,821</w:t>
            </w:r>
          </w:p>
        </w:tc>
        <w:tc>
          <w:tcPr>
            <w:tcW w:type="dxa" w:w="2160"/>
            <w:shd w:val="clear" w:color="auto" w:fill="F5F7FA"/>
          </w:tcPr>
          <w:p>
            <w:pPr>
              <w:spacing w:after="20"/>
            </w:pPr>
            <w:r/>
            <w:r>
              <w:rPr>
                <w:sz w:val="18"/>
              </w:rPr>
              <w:t>121 MB</w:t>
            </w:r>
          </w:p>
        </w:tc>
      </w:tr>
      <w:tr>
        <w:tc>
          <w:tcPr>
            <w:tcW w:type="dxa" w:w="3744"/>
          </w:tcPr>
          <w:p>
            <w:pPr>
              <w:spacing w:after="20"/>
            </w:pPr>
            <w:r/>
            <w:r>
              <w:rPr>
                <w:sz w:val="18"/>
              </w:rPr>
              <w:t>test_source1.tsv</w:t>
            </w:r>
          </w:p>
        </w:tc>
        <w:tc>
          <w:tcPr>
            <w:tcW w:type="dxa" w:w="2736"/>
          </w:tcPr>
          <w:p>
            <w:pPr>
              <w:spacing w:after="20"/>
            </w:pPr>
            <w:r/>
            <w:r>
              <w:rPr>
                <w:sz w:val="18"/>
              </w:rPr>
              <w:t>1,732,544</w:t>
            </w:r>
          </w:p>
        </w:tc>
        <w:tc>
          <w:tcPr>
            <w:tcW w:type="dxa" w:w="2160"/>
          </w:tcPr>
          <w:p>
            <w:pPr>
              <w:spacing w:after="20"/>
            </w:pPr>
            <w:r/>
            <w:r>
              <w:rPr>
                <w:sz w:val="18"/>
              </w:rPr>
              <w:t>167 MB</w:t>
            </w:r>
          </w:p>
        </w:tc>
      </w:tr>
      <w:tr>
        <w:tc>
          <w:tcPr>
            <w:tcW w:type="dxa" w:w="3744"/>
            <w:shd w:val="clear" w:color="auto" w:fill="F5F7FA"/>
          </w:tcPr>
          <w:p>
            <w:pPr>
              <w:spacing w:after="20"/>
            </w:pPr>
            <w:r/>
            <w:r>
              <w:rPr>
                <w:sz w:val="18"/>
              </w:rPr>
              <w:t>test_source2.tsv</w:t>
            </w:r>
          </w:p>
        </w:tc>
        <w:tc>
          <w:tcPr>
            <w:tcW w:type="dxa" w:w="2736"/>
            <w:shd w:val="clear" w:color="auto" w:fill="F5F7FA"/>
          </w:tcPr>
          <w:p>
            <w:pPr>
              <w:spacing w:after="20"/>
            </w:pPr>
            <w:r/>
            <w:r>
              <w:rPr>
                <w:sz w:val="18"/>
              </w:rPr>
              <w:t>4,887,273</w:t>
            </w:r>
          </w:p>
        </w:tc>
        <w:tc>
          <w:tcPr>
            <w:tcW w:type="dxa" w:w="2160"/>
            <w:shd w:val="clear" w:color="auto" w:fill="F5F7FA"/>
          </w:tcPr>
          <w:p>
            <w:pPr>
              <w:spacing w:after="20"/>
            </w:pPr>
            <w:r/>
            <w:r>
              <w:rPr>
                <w:sz w:val="18"/>
              </w:rPr>
              <w:t>486 MB</w:t>
            </w:r>
          </w:p>
        </w:tc>
      </w:tr>
      <w:tr>
        <w:tc>
          <w:tcPr>
            <w:tcW w:type="dxa" w:w="3744"/>
          </w:tcPr>
          <w:p>
            <w:pPr>
              <w:spacing w:after="20"/>
            </w:pPr>
            <w:r/>
            <w:r>
              <w:rPr>
                <w:sz w:val="18"/>
              </w:rPr>
              <w:t>test_source3.tsv</w:t>
            </w:r>
          </w:p>
        </w:tc>
        <w:tc>
          <w:tcPr>
            <w:tcW w:type="dxa" w:w="2736"/>
          </w:tcPr>
          <w:p>
            <w:pPr>
              <w:spacing w:after="20"/>
            </w:pPr>
            <w:r/>
            <w:r>
              <w:rPr>
                <w:sz w:val="18"/>
              </w:rPr>
              <w:t>5,082,316</w:t>
            </w:r>
          </w:p>
        </w:tc>
        <w:tc>
          <w:tcPr>
            <w:tcW w:type="dxa" w:w="2160"/>
          </w:tcPr>
          <w:p>
            <w:pPr>
              <w:spacing w:after="20"/>
            </w:pPr>
            <w:r/>
            <w:r>
              <w:rPr>
                <w:sz w:val="18"/>
              </w:rPr>
              <w:t>483 MB</w:t>
            </w:r>
          </w:p>
        </w:tc>
      </w:tr>
    </w:tbl>
    <w:p>
      <w:pPr>
        <w:spacing w:after="0"/>
      </w:pPr>
    </w:p>
    <w:p>
      <w:pPr>
        <w:spacing w:before="40" w:after="240"/>
      </w:pPr>
      <w:r>
        <w:rPr>
          <w:i/>
          <w:color w:val="606060"/>
          <w:sz w:val="17"/>
        </w:rPr>
        <w:t>No malformed rows, no missing names. business_address is empty for about 3.4% of Source 2/3 records and never empty in Source 1.</w:t>
      </w:r>
    </w:p>
    <w:p>
      <w:r>
        <w:rPr>
          <w:b w:val="0"/>
          <w:i w:val="0"/>
        </w:rPr>
        <w:t>Naive comparison space for the test split is 1.73 M x 9.97 M, about 1.7 x 10^13 pairs. Blocking must reach a reduction ratio near 1 - 10^-6 while holding recall high. Available hardware is 16 logical cores and 16.9 GB RAM, so memory rather than CPU is the binding constraint: integer ids and Arrow-backed strings throughout, never Python dicts of 10 M strings.</w:t>
      </w:r>
    </w:p>
    <w:p>
      <w:pPr>
        <w:pStyle w:val="Heading3"/>
      </w:pPr>
      <w:r>
        <w:t>1.2.3  Country mix - where the score actually sits</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592"/>
            <w:shd w:val="clear" w:color="auto" w:fill="1F3A5F"/>
          </w:tcPr>
          <w:p>
            <w:pPr>
              <w:spacing w:after="20"/>
            </w:pPr>
            <w:r/>
            <w:r>
              <w:rPr>
                <w:b/>
                <w:color w:val="FFFFFF"/>
                <w:sz w:val="18"/>
              </w:rPr>
              <w:t>Split</w:t>
            </w:r>
          </w:p>
        </w:tc>
        <w:tc>
          <w:tcPr>
            <w:tcW w:type="dxa" w:w="2160"/>
            <w:shd w:val="clear" w:color="auto" w:fill="1F3A5F"/>
          </w:tcPr>
          <w:p>
            <w:pPr>
              <w:spacing w:after="20"/>
            </w:pPr>
            <w:r/>
            <w:r>
              <w:rPr>
                <w:b/>
                <w:color w:val="FFFFFF"/>
                <w:sz w:val="18"/>
              </w:rPr>
              <w:t>US</w:t>
            </w:r>
          </w:p>
        </w:tc>
        <w:tc>
          <w:tcPr>
            <w:tcW w:type="dxa" w:w="2160"/>
            <w:shd w:val="clear" w:color="auto" w:fill="1F3A5F"/>
          </w:tcPr>
          <w:p>
            <w:pPr>
              <w:spacing w:after="20"/>
            </w:pPr>
            <w:r/>
            <w:r>
              <w:rPr>
                <w:b/>
                <w:color w:val="FFFFFF"/>
                <w:sz w:val="18"/>
              </w:rPr>
              <w:t>India</w:t>
            </w:r>
          </w:p>
        </w:tc>
        <w:tc>
          <w:tcPr>
            <w:tcW w:type="dxa" w:w="2160"/>
            <w:shd w:val="clear" w:color="auto" w:fill="1F3A5F"/>
          </w:tcPr>
          <w:p>
            <w:pPr>
              <w:spacing w:after="20"/>
            </w:pPr>
            <w:r/>
            <w:r>
              <w:rPr>
                <w:b/>
                <w:color w:val="FFFFFF"/>
                <w:sz w:val="18"/>
              </w:rPr>
              <w:t>France</w:t>
            </w:r>
          </w:p>
        </w:tc>
      </w:tr>
      <w:tr>
        <w:tc>
          <w:tcPr>
            <w:tcW w:type="dxa" w:w="2592"/>
          </w:tcPr>
          <w:p>
            <w:pPr>
              <w:spacing w:after="20"/>
            </w:pPr>
            <w:r/>
            <w:r>
              <w:rPr>
                <w:sz w:val="18"/>
              </w:rPr>
              <w:t>train</w:t>
            </w:r>
          </w:p>
        </w:tc>
        <w:tc>
          <w:tcPr>
            <w:tcW w:type="dxa" w:w="2160"/>
          </w:tcPr>
          <w:p>
            <w:pPr>
              <w:spacing w:after="20"/>
            </w:pPr>
            <w:r/>
            <w:r>
              <w:rPr>
                <w:sz w:val="18"/>
              </w:rPr>
              <w:t>60.0%</w:t>
            </w:r>
          </w:p>
        </w:tc>
        <w:tc>
          <w:tcPr>
            <w:tcW w:type="dxa" w:w="2160"/>
          </w:tcPr>
          <w:p>
            <w:pPr>
              <w:spacing w:after="20"/>
            </w:pPr>
            <w:r/>
            <w:r>
              <w:rPr>
                <w:sz w:val="18"/>
              </w:rPr>
              <w:t>40.0%</w:t>
            </w:r>
          </w:p>
        </w:tc>
        <w:tc>
          <w:tcPr>
            <w:tcW w:type="dxa" w:w="2160"/>
          </w:tcPr>
          <w:p>
            <w:pPr>
              <w:spacing w:after="20"/>
            </w:pPr>
            <w:r/>
            <w:r>
              <w:rPr>
                <w:sz w:val="18"/>
              </w:rPr>
              <w:t>-</w:t>
            </w:r>
          </w:p>
        </w:tc>
      </w:tr>
      <w:tr>
        <w:tc>
          <w:tcPr>
            <w:tcW w:type="dxa" w:w="2592"/>
            <w:shd w:val="clear" w:color="auto" w:fill="F5F7FA"/>
          </w:tcPr>
          <w:p>
            <w:pPr>
              <w:spacing w:after="20"/>
            </w:pPr>
            <w:r/>
            <w:r>
              <w:rPr>
                <w:sz w:val="18"/>
              </w:rPr>
              <w:t>test Source 1</w:t>
            </w:r>
          </w:p>
        </w:tc>
        <w:tc>
          <w:tcPr>
            <w:tcW w:type="dxa" w:w="2160"/>
            <w:shd w:val="clear" w:color="auto" w:fill="F5F7FA"/>
          </w:tcPr>
          <w:p>
            <w:pPr>
              <w:spacing w:after="20"/>
            </w:pPr>
            <w:r/>
            <w:r>
              <w:rPr>
                <w:sz w:val="18"/>
              </w:rPr>
              <w:t>38.3%</w:t>
            </w:r>
          </w:p>
        </w:tc>
        <w:tc>
          <w:tcPr>
            <w:tcW w:type="dxa" w:w="2160"/>
            <w:shd w:val="clear" w:color="auto" w:fill="F5F7FA"/>
          </w:tcPr>
          <w:p>
            <w:pPr>
              <w:spacing w:after="20"/>
            </w:pPr>
            <w:r/>
            <w:r>
              <w:rPr>
                <w:sz w:val="18"/>
              </w:rPr>
              <w:t>46.8%</w:t>
            </w:r>
          </w:p>
        </w:tc>
        <w:tc>
          <w:tcPr>
            <w:tcW w:type="dxa" w:w="2160"/>
            <w:shd w:val="clear" w:color="auto" w:fill="F5F7FA"/>
          </w:tcPr>
          <w:p>
            <w:pPr>
              <w:spacing w:after="20"/>
            </w:pPr>
            <w:r/>
            <w:r>
              <w:rPr>
                <w:sz w:val="18"/>
              </w:rPr>
              <w:t>15.0%</w:t>
            </w:r>
          </w:p>
        </w:tc>
      </w:tr>
    </w:tbl>
    <w:p>
      <w:pPr>
        <w:spacing w:after="0"/>
      </w:pPr>
    </w:p>
    <w:p>
      <w:pPr>
        <w:spacing w:before="40" w:after="240"/>
      </w:pPr>
      <w:r>
        <w:rPr>
          <w:i/>
          <w:color w:val="606060"/>
          <w:sz w:val="17"/>
        </w:rPr>
        <w:t>France is 259,452 of 1,732,544 test Source 1 entities. 15% of the score rides on a country with zero labelled examples.</w:t>
      </w:r>
    </w:p>
    <w:p>
      <w:pPr>
        <w:pStyle w:val="Heading2"/>
      </w:pPr>
      <w:r>
        <w:t>1.3  The observed corruption process</w:t>
      </w:r>
    </w:p>
    <w:p>
      <w:r>
        <w:rPr>
          <w:b w:val="0"/>
          <w:i w:val="0"/>
        </w:rPr>
        <w:t>Catalogued from real matched groups in the training ground truth.</w:t>
      </w:r>
    </w:p>
    <w:p>
      <w:pPr>
        <w:pStyle w:val="Heading3"/>
      </w:pPr>
      <w:r>
        <w:t>1.3.1  Name operators</w:t>
      </w:r>
    </w:p>
    <w:tbl>
      <w:tblPr>
        <w:tblStyle w:val="TableGrid"/>
        <w:tblW w:type="auto" w:w="0"/>
        <w:jc w:val="center"/>
        <w:tblLayout w:type="autofit"/>
        <w:tblLook w:firstColumn="1" w:firstRow="1" w:lastColumn="0" w:lastRow="0" w:noHBand="0" w:noVBand="1" w:val="04A0"/>
      </w:tblPr>
      <w:tblGrid>
        <w:gridCol w:w="4752"/>
        <w:gridCol w:w="4752"/>
      </w:tblGrid>
      <w:tr>
        <w:tc>
          <w:tcPr>
            <w:tcW w:type="dxa" w:w="2736"/>
            <w:shd w:val="clear" w:color="auto" w:fill="1F3A5F"/>
          </w:tcPr>
          <w:p>
            <w:pPr>
              <w:spacing w:after="20"/>
            </w:pPr>
            <w:r/>
            <w:r>
              <w:rPr>
                <w:b/>
                <w:color w:val="FFFFFF"/>
                <w:sz w:val="18"/>
              </w:rPr>
              <w:t>Operator</w:t>
            </w:r>
          </w:p>
        </w:tc>
        <w:tc>
          <w:tcPr>
            <w:tcW w:type="dxa" w:w="6192"/>
            <w:shd w:val="clear" w:color="auto" w:fill="1F3A5F"/>
          </w:tcPr>
          <w:p>
            <w:pPr>
              <w:spacing w:after="20"/>
            </w:pPr>
            <w:r/>
            <w:r>
              <w:rPr>
                <w:b/>
                <w:color w:val="FFFFFF"/>
                <w:sz w:val="18"/>
              </w:rPr>
              <w:t>Real examples</w:t>
            </w:r>
          </w:p>
        </w:tc>
      </w:tr>
      <w:tr>
        <w:tc>
          <w:tcPr>
            <w:tcW w:type="dxa" w:w="2736"/>
          </w:tcPr>
          <w:p>
            <w:pPr>
              <w:spacing w:after="20"/>
            </w:pPr>
            <w:r/>
            <w:r>
              <w:rPr>
                <w:sz w:val="18"/>
              </w:rPr>
              <w:t>junk prefix / suffix</w:t>
            </w:r>
          </w:p>
        </w:tc>
        <w:tc>
          <w:tcPr>
            <w:tcW w:type="dxa" w:w="6192"/>
          </w:tcPr>
          <w:p>
            <w:pPr>
              <w:spacing w:after="20"/>
            </w:pPr>
            <w:r/>
            <w:r>
              <w:rPr>
                <w:sz w:val="18"/>
              </w:rPr>
              <w:t>'...', '--', '##', '&lt;&lt;', '#', 'M/s', leading 'THE'</w:t>
            </w:r>
          </w:p>
        </w:tc>
      </w:tr>
      <w:tr>
        <w:tc>
          <w:tcPr>
            <w:tcW w:type="dxa" w:w="2736"/>
            <w:shd w:val="clear" w:color="auto" w:fill="F5F7FA"/>
          </w:tcPr>
          <w:p>
            <w:pPr>
              <w:spacing w:after="20"/>
            </w:pPr>
            <w:r/>
            <w:r>
              <w:rPr>
                <w:sz w:val="18"/>
              </w:rPr>
              <w:t>legal suffix swap or drop</w:t>
            </w:r>
          </w:p>
        </w:tc>
        <w:tc>
          <w:tcPr>
            <w:tcW w:type="dxa" w:w="6192"/>
            <w:shd w:val="clear" w:color="auto" w:fill="F5F7FA"/>
          </w:tcPr>
          <w:p>
            <w:pPr>
              <w:spacing w:after="20"/>
            </w:pPr>
            <w:r/>
            <w:r>
              <w:rPr>
                <w:sz w:val="18"/>
              </w:rPr>
              <w:t>Limited &lt;-&gt; Ltd, Private Limited &lt;-&gt; Pvt Ltd, Inc, LLC, PC, SARL, S.A.S, LLP</w:t>
            </w:r>
          </w:p>
        </w:tc>
      </w:tr>
      <w:tr>
        <w:tc>
          <w:tcPr>
            <w:tcW w:type="dxa" w:w="2736"/>
          </w:tcPr>
          <w:p>
            <w:pPr>
              <w:spacing w:after="20"/>
            </w:pPr>
            <w:r/>
            <w:r>
              <w:rPr>
                <w:sz w:val="18"/>
              </w:rPr>
              <w:t>generic descriptor added</w:t>
            </w:r>
          </w:p>
        </w:tc>
        <w:tc>
          <w:tcPr>
            <w:tcW w:type="dxa" w:w="6192"/>
          </w:tcPr>
          <w:p>
            <w:pPr>
              <w:spacing w:after="20"/>
            </w:pPr>
            <w:r/>
            <w:r>
              <w:rPr>
                <w:sz w:val="18"/>
              </w:rPr>
              <w:t>Services, Service, Center, Co, Group, (Partners), [Services]</w:t>
            </w:r>
          </w:p>
        </w:tc>
      </w:tr>
      <w:tr>
        <w:tc>
          <w:tcPr>
            <w:tcW w:type="dxa" w:w="2736"/>
            <w:shd w:val="clear" w:color="auto" w:fill="F5F7FA"/>
          </w:tcPr>
          <w:p>
            <w:pPr>
              <w:spacing w:after="20"/>
            </w:pPr>
            <w:r/>
            <w:r>
              <w:rPr>
                <w:sz w:val="18"/>
              </w:rPr>
              <w:t>DBA prefix with foreign name</w:t>
            </w:r>
          </w:p>
        </w:tc>
        <w:tc>
          <w:tcPr>
            <w:tcW w:type="dxa" w:w="6192"/>
            <w:shd w:val="clear" w:color="auto" w:fill="F5F7FA"/>
          </w:tcPr>
          <w:p>
            <w:pPr>
              <w:spacing w:after="20"/>
            </w:pPr>
            <w:r/>
            <w:r>
              <w:rPr>
                <w:sz w:val="18"/>
              </w:rPr>
              <w:t>'Halonex dba Marnie Baynes...', 'Quocalo Co dba Meta's Foods'</w:t>
            </w:r>
          </w:p>
        </w:tc>
      </w:tr>
      <w:tr>
        <w:tc>
          <w:tcPr>
            <w:tcW w:type="dxa" w:w="2736"/>
          </w:tcPr>
          <w:p>
            <w:pPr>
              <w:spacing w:after="20"/>
            </w:pPr>
            <w:r/>
            <w:r>
              <w:rPr>
                <w:sz w:val="18"/>
              </w:rPr>
              <w:t>domainification</w:t>
            </w:r>
          </w:p>
        </w:tc>
        <w:tc>
          <w:tcPr>
            <w:tcW w:type="dxa" w:w="6192"/>
          </w:tcPr>
          <w:p>
            <w:pPr>
              <w:spacing w:after="20"/>
            </w:pPr>
            <w:r/>
            <w:r>
              <w:rPr>
                <w:sz w:val="18"/>
              </w:rPr>
              <w:t>tejrajchits.com, edwardshintzedougherty.com - tokens concatenated, TLD appended</w:t>
            </w:r>
          </w:p>
        </w:tc>
      </w:tr>
      <w:tr>
        <w:tc>
          <w:tcPr>
            <w:tcW w:type="dxa" w:w="2736"/>
            <w:shd w:val="clear" w:color="auto" w:fill="F5F7FA"/>
          </w:tcPr>
          <w:p>
            <w:pPr>
              <w:spacing w:after="20"/>
            </w:pPr>
            <w:r/>
            <w:r>
              <w:rPr>
                <w:sz w:val="18"/>
              </w:rPr>
              <w:t>token subset / truncation</w:t>
            </w:r>
          </w:p>
        </w:tc>
        <w:tc>
          <w:tcPr>
            <w:tcW w:type="dxa" w:w="6192"/>
            <w:shd w:val="clear" w:color="auto" w:fill="F5F7FA"/>
          </w:tcPr>
          <w:p>
            <w:pPr>
              <w:spacing w:after="20"/>
            </w:pPr>
            <w:r/>
            <w:r>
              <w:rPr>
                <w:sz w:val="18"/>
              </w:rPr>
              <w:t>'Alpaugh Golden Vance LLC' -&gt; 'Alpaugh Golden'; 'Ace Foods Limited' -&gt; 'Ace'</w:t>
            </w:r>
          </w:p>
        </w:tc>
      </w:tr>
      <w:tr>
        <w:tc>
          <w:tcPr>
            <w:tcW w:type="dxa" w:w="2736"/>
          </w:tcPr>
          <w:p>
            <w:pPr>
              <w:spacing w:after="20"/>
            </w:pPr>
            <w:r/>
            <w:r>
              <w:rPr>
                <w:sz w:val="18"/>
              </w:rPr>
              <w:t>word-order transposition</w:t>
            </w:r>
          </w:p>
        </w:tc>
        <w:tc>
          <w:tcPr>
            <w:tcW w:type="dxa" w:w="6192"/>
          </w:tcPr>
          <w:p>
            <w:pPr>
              <w:spacing w:after="20"/>
            </w:pPr>
            <w:r/>
            <w:r>
              <w:rPr>
                <w:sz w:val="18"/>
              </w:rPr>
              <w:t>'Edwards, Hintze &amp; Dougherty' -&gt; 'Hintze Edwards, Dougherty'</w:t>
            </w:r>
          </w:p>
        </w:tc>
      </w:tr>
      <w:tr>
        <w:tc>
          <w:tcPr>
            <w:tcW w:type="dxa" w:w="2736"/>
            <w:shd w:val="clear" w:color="auto" w:fill="F5F7FA"/>
          </w:tcPr>
          <w:p>
            <w:pPr>
              <w:spacing w:after="20"/>
            </w:pPr>
            <w:r/>
            <w:r>
              <w:rPr>
                <w:sz w:val="18"/>
              </w:rPr>
              <w:t>punctuation</w:t>
            </w:r>
          </w:p>
        </w:tc>
        <w:tc>
          <w:tcPr>
            <w:tcW w:type="dxa" w:w="6192"/>
            <w:shd w:val="clear" w:color="auto" w:fill="F5F7FA"/>
          </w:tcPr>
          <w:p>
            <w:pPr>
              <w:spacing w:after="20"/>
            </w:pPr>
            <w:r/>
            <w:r>
              <w:rPr>
                <w:sz w:val="18"/>
              </w:rPr>
              <w:t>&amp; &lt;-&gt; + &lt;-&gt; and; hyphen inserted; period added</w:t>
            </w:r>
          </w:p>
        </w:tc>
      </w:tr>
      <w:tr>
        <w:tc>
          <w:tcPr>
            <w:tcW w:type="dxa" w:w="2736"/>
          </w:tcPr>
          <w:p>
            <w:pPr>
              <w:spacing w:after="20"/>
            </w:pPr>
            <w:r/>
            <w:r>
              <w:rPr>
                <w:sz w:val="18"/>
              </w:rPr>
              <w:t>typo (1-2 chars)</w:t>
            </w:r>
          </w:p>
        </w:tc>
        <w:tc>
          <w:tcPr>
            <w:tcW w:type="dxa" w:w="6192"/>
          </w:tcPr>
          <w:p>
            <w:pPr>
              <w:spacing w:after="20"/>
            </w:pPr>
            <w:r/>
            <w:r>
              <w:rPr>
                <w:sz w:val="18"/>
              </w:rPr>
              <w:t>Marnie-&gt;Mamie, Golden-&gt;G0lden, EDWARDS-&gt;EDWARD5, Culbert-&gt;CULBERT (accented)</w:t>
            </w:r>
          </w:p>
        </w:tc>
      </w:tr>
      <w:tr>
        <w:tc>
          <w:tcPr>
            <w:tcW w:type="dxa" w:w="2736"/>
            <w:shd w:val="clear" w:color="auto" w:fill="F5F7FA"/>
          </w:tcPr>
          <w:p>
            <w:pPr>
              <w:spacing w:after="20"/>
            </w:pPr>
            <w:r/>
            <w:r>
              <w:rPr>
                <w:sz w:val="18"/>
              </w:rPr>
              <w:t>case</w:t>
            </w:r>
          </w:p>
        </w:tc>
        <w:tc>
          <w:tcPr>
            <w:tcW w:type="dxa" w:w="6192"/>
            <w:shd w:val="clear" w:color="auto" w:fill="F5F7FA"/>
          </w:tcPr>
          <w:p>
            <w:pPr>
              <w:spacing w:after="20"/>
            </w:pPr>
            <w:r/>
            <w:r>
              <w:rPr>
                <w:sz w:val="18"/>
              </w:rPr>
              <w:t>full upper in S2, title case in S3</w:t>
            </w:r>
          </w:p>
        </w:tc>
      </w:tr>
      <w:tr>
        <w:tc>
          <w:tcPr>
            <w:tcW w:type="dxa" w:w="2736"/>
          </w:tcPr>
          <w:p>
            <w:pPr>
              <w:spacing w:after="20"/>
            </w:pPr>
            <w:r/>
            <w:r>
              <w:rPr>
                <w:sz w:val="18"/>
              </w:rPr>
              <w:t>Devanagari transliteration</w:t>
            </w:r>
          </w:p>
        </w:tc>
        <w:tc>
          <w:tcPr>
            <w:tcW w:type="dxa" w:w="6192"/>
          </w:tcPr>
          <w:p>
            <w:pPr>
              <w:spacing w:after="20"/>
            </w:pPr>
            <w:r/>
            <w:r>
              <w:rPr>
                <w:sz w:val="18"/>
              </w:rPr>
              <w:t>Devanagari rendering of the entire name</w:t>
            </w:r>
          </w:p>
        </w:tc>
      </w:tr>
    </w:tbl>
    <w:p>
      <w:pPr>
        <w:spacing w:after="0"/>
      </w:pPr>
    </w:p>
    <w:p>
      <w:pPr>
        <w:pStyle w:val="Heading3"/>
      </w:pPr>
      <w:r>
        <w:t>1.3.2  Address operators</w:t>
      </w:r>
    </w:p>
    <w:tbl>
      <w:tblPr>
        <w:tblStyle w:val="TableGrid"/>
        <w:tblW w:type="auto" w:w="0"/>
        <w:jc w:val="center"/>
        <w:tblLayout w:type="autofit"/>
        <w:tblLook w:firstColumn="1" w:firstRow="1" w:lastColumn="0" w:lastRow="0" w:noHBand="0" w:noVBand="1" w:val="04A0"/>
      </w:tblPr>
      <w:tblGrid>
        <w:gridCol w:w="4752"/>
        <w:gridCol w:w="4752"/>
      </w:tblGrid>
      <w:tr>
        <w:tc>
          <w:tcPr>
            <w:tcW w:type="dxa" w:w="2736"/>
            <w:shd w:val="clear" w:color="auto" w:fill="1F3A5F"/>
          </w:tcPr>
          <w:p>
            <w:pPr>
              <w:spacing w:after="20"/>
            </w:pPr>
            <w:r/>
            <w:r>
              <w:rPr>
                <w:b/>
                <w:color w:val="FFFFFF"/>
                <w:sz w:val="18"/>
              </w:rPr>
              <w:t>Operator</w:t>
            </w:r>
          </w:p>
        </w:tc>
        <w:tc>
          <w:tcPr>
            <w:tcW w:type="dxa" w:w="6192"/>
            <w:shd w:val="clear" w:color="auto" w:fill="1F3A5F"/>
          </w:tcPr>
          <w:p>
            <w:pPr>
              <w:spacing w:after="20"/>
            </w:pPr>
            <w:r/>
            <w:r>
              <w:rPr>
                <w:b/>
                <w:color w:val="FFFFFF"/>
                <w:sz w:val="18"/>
              </w:rPr>
              <w:t>Real examples</w:t>
            </w:r>
          </w:p>
        </w:tc>
      </w:tr>
      <w:tr>
        <w:tc>
          <w:tcPr>
            <w:tcW w:type="dxa" w:w="2736"/>
          </w:tcPr>
          <w:p>
            <w:pPr>
              <w:spacing w:after="20"/>
            </w:pPr>
            <w:r/>
            <w:r>
              <w:rPr>
                <w:sz w:val="18"/>
              </w:rPr>
              <w:t>street-type abbreviation</w:t>
            </w:r>
          </w:p>
        </w:tc>
        <w:tc>
          <w:tcPr>
            <w:tcW w:type="dxa" w:w="6192"/>
          </w:tcPr>
          <w:p>
            <w:pPr>
              <w:spacing w:after="20"/>
            </w:pPr>
            <w:r/>
            <w:r>
              <w:rPr>
                <w:sz w:val="18"/>
              </w:rPr>
              <w:t>Drive &lt;-&gt; Dr, Avenue &lt;-&gt; Ave, Street &lt;-&gt; St, Road &lt;-&gt; Rd</w:t>
            </w:r>
          </w:p>
        </w:tc>
      </w:tr>
      <w:tr>
        <w:tc>
          <w:tcPr>
            <w:tcW w:type="dxa" w:w="2736"/>
            <w:shd w:val="clear" w:color="auto" w:fill="F5F7FA"/>
          </w:tcPr>
          <w:p>
            <w:pPr>
              <w:spacing w:after="20"/>
            </w:pPr>
            <w:r/>
            <w:r>
              <w:rPr>
                <w:sz w:val="18"/>
              </w:rPr>
              <w:t>ordinal &lt;-&gt; word</w:t>
            </w:r>
          </w:p>
        </w:tc>
        <w:tc>
          <w:tcPr>
            <w:tcW w:type="dxa" w:w="6192"/>
            <w:shd w:val="clear" w:color="auto" w:fill="F5F7FA"/>
          </w:tcPr>
          <w:p>
            <w:pPr>
              <w:spacing w:after="20"/>
            </w:pPr>
            <w:r/>
            <w:r>
              <w:rPr>
                <w:sz w:val="18"/>
              </w:rPr>
              <w:t>14th &lt;-&gt; FOURTEENTH</w:t>
            </w:r>
          </w:p>
        </w:tc>
      </w:tr>
      <w:tr>
        <w:tc>
          <w:tcPr>
            <w:tcW w:type="dxa" w:w="2736"/>
          </w:tcPr>
          <w:p>
            <w:pPr>
              <w:spacing w:after="20"/>
            </w:pPr>
            <w:r/>
            <w:r>
              <w:rPr>
                <w:sz w:val="18"/>
              </w:rPr>
              <w:t>wrong expansion</w:t>
            </w:r>
          </w:p>
        </w:tc>
        <w:tc>
          <w:tcPr>
            <w:tcW w:type="dxa" w:w="6192"/>
          </w:tcPr>
          <w:p>
            <w:pPr>
              <w:spacing w:after="20"/>
            </w:pPr>
            <w:r/>
            <w:r>
              <w:rPr>
                <w:sz w:val="18"/>
              </w:rPr>
              <w:t>St -&gt; SAINT, producing 'FOURTEENTH SAINT' from '14th St'</w:t>
            </w:r>
          </w:p>
        </w:tc>
      </w:tr>
      <w:tr>
        <w:tc>
          <w:tcPr>
            <w:tcW w:type="dxa" w:w="2736"/>
            <w:shd w:val="clear" w:color="auto" w:fill="F5F7FA"/>
          </w:tcPr>
          <w:p>
            <w:pPr>
              <w:spacing w:after="20"/>
            </w:pPr>
            <w:r/>
            <w:r>
              <w:rPr>
                <w:sz w:val="18"/>
              </w:rPr>
              <w:t>state abbrev &lt;-&gt; full</w:t>
            </w:r>
          </w:p>
        </w:tc>
        <w:tc>
          <w:tcPr>
            <w:tcW w:type="dxa" w:w="6192"/>
            <w:shd w:val="clear" w:color="auto" w:fill="F5F7FA"/>
          </w:tcPr>
          <w:p>
            <w:pPr>
              <w:spacing w:after="20"/>
            </w:pPr>
            <w:r/>
            <w:r>
              <w:rPr>
                <w:sz w:val="18"/>
              </w:rPr>
              <w:t>TX&lt;-&gt;Texas, KA&lt;-&gt;Karnataka, TN&lt;-&gt;Tamil Nadu, UP&lt;-&gt;Uttar Pradesh</w:t>
            </w:r>
          </w:p>
        </w:tc>
      </w:tr>
      <w:tr>
        <w:tc>
          <w:tcPr>
            <w:tcW w:type="dxa" w:w="2736"/>
          </w:tcPr>
          <w:p>
            <w:pPr>
              <w:spacing w:after="20"/>
            </w:pPr>
            <w:r/>
            <w:r>
              <w:rPr>
                <w:sz w:val="18"/>
              </w:rPr>
              <w:t>state transliterated</w:t>
            </w:r>
          </w:p>
        </w:tc>
        <w:tc>
          <w:tcPr>
            <w:tcW w:type="dxa" w:w="6192"/>
          </w:tcPr>
          <w:p>
            <w:pPr>
              <w:spacing w:after="20"/>
            </w:pPr>
            <w:r/>
            <w:r>
              <w:rPr>
                <w:sz w:val="18"/>
              </w:rPr>
              <w:t>Devanagari state names</w:t>
            </w:r>
          </w:p>
        </w:tc>
      </w:tr>
      <w:tr>
        <w:tc>
          <w:tcPr>
            <w:tcW w:type="dxa" w:w="2736"/>
            <w:shd w:val="clear" w:color="auto" w:fill="F5F7FA"/>
          </w:tcPr>
          <w:p>
            <w:pPr>
              <w:spacing w:after="20"/>
            </w:pPr>
            <w:r/>
            <w:r>
              <w:rPr>
                <w:sz w:val="18"/>
              </w:rPr>
              <w:t>city variants</w:t>
            </w:r>
          </w:p>
        </w:tc>
        <w:tc>
          <w:tcPr>
            <w:tcW w:type="dxa" w:w="6192"/>
            <w:shd w:val="clear" w:color="auto" w:fill="F5F7FA"/>
          </w:tcPr>
          <w:p>
            <w:pPr>
              <w:spacing w:after="20"/>
            </w:pPr>
            <w:r/>
            <w:r>
              <w:rPr>
                <w:sz w:val="18"/>
              </w:rPr>
              <w:t>Mysore &lt;-&gt; Mysuru, Bangalore &lt;-&gt; Bengaluru</w:t>
            </w:r>
          </w:p>
        </w:tc>
      </w:tr>
      <w:tr>
        <w:tc>
          <w:tcPr>
            <w:tcW w:type="dxa" w:w="2736"/>
          </w:tcPr>
          <w:p>
            <w:pPr>
              <w:spacing w:after="20"/>
            </w:pPr>
            <w:r/>
            <w:r>
              <w:rPr>
                <w:sz w:val="18"/>
              </w:rPr>
              <w:t>component reordering</w:t>
            </w:r>
          </w:p>
        </w:tc>
        <w:tc>
          <w:tcPr>
            <w:tcW w:type="dxa" w:w="6192"/>
          </w:tcPr>
          <w:p>
            <w:pPr>
              <w:spacing w:after="20"/>
            </w:pPr>
            <w:r/>
            <w:r>
              <w:rPr>
                <w:sz w:val="18"/>
              </w:rPr>
              <w:t>'44 Goodrich Avenue, Auburn, ME' -&gt; 'ME, Auburn, 44 Goodrich Avenue'</w:t>
            </w:r>
          </w:p>
        </w:tc>
      </w:tr>
      <w:tr>
        <w:tc>
          <w:tcPr>
            <w:tcW w:type="dxa" w:w="2736"/>
            <w:shd w:val="clear" w:color="auto" w:fill="F5F7FA"/>
          </w:tcPr>
          <w:p>
            <w:pPr>
              <w:spacing w:after="20"/>
            </w:pPr>
            <w:r/>
            <w:r>
              <w:rPr>
                <w:sz w:val="18"/>
              </w:rPr>
              <w:t>component drop</w:t>
            </w:r>
          </w:p>
        </w:tc>
        <w:tc>
          <w:tcPr>
            <w:tcW w:type="dxa" w:w="6192"/>
            <w:shd w:val="clear" w:color="auto" w:fill="F5F7FA"/>
          </w:tcPr>
          <w:p>
            <w:pPr>
              <w:spacing w:after="20"/>
            </w:pPr>
            <w:r/>
            <w:r>
              <w:rPr>
                <w:sz w:val="18"/>
              </w:rPr>
              <w:t>city, state, PIN or house number removed</w:t>
            </w:r>
          </w:p>
        </w:tc>
      </w:tr>
      <w:tr>
        <w:tc>
          <w:tcPr>
            <w:tcW w:type="dxa" w:w="2736"/>
          </w:tcPr>
          <w:p>
            <w:pPr>
              <w:spacing w:after="20"/>
            </w:pPr>
            <w:r/>
            <w:r>
              <w:rPr>
                <w:sz w:val="18"/>
              </w:rPr>
              <w:t>house-number junk</w:t>
            </w:r>
          </w:p>
        </w:tc>
        <w:tc>
          <w:tcPr>
            <w:tcW w:type="dxa" w:w="6192"/>
          </w:tcPr>
          <w:p>
            <w:pPr>
              <w:spacing w:after="20"/>
            </w:pPr>
            <w:r/>
            <w:r>
              <w:rPr>
                <w:sz w:val="18"/>
              </w:rPr>
              <w:t>HN 823, H.NO, H.no B3/801, ##84-11, Fl 0</w:t>
            </w:r>
          </w:p>
        </w:tc>
      </w:tr>
      <w:tr>
        <w:tc>
          <w:tcPr>
            <w:tcW w:type="dxa" w:w="2736"/>
            <w:shd w:val="clear" w:color="auto" w:fill="F5F7FA"/>
          </w:tcPr>
          <w:p>
            <w:pPr>
              <w:spacing w:after="20"/>
            </w:pPr>
            <w:r/>
            <w:r>
              <w:rPr>
                <w:sz w:val="18"/>
              </w:rPr>
              <w:t>digit corruption</w:t>
            </w:r>
          </w:p>
        </w:tc>
        <w:tc>
          <w:tcPr>
            <w:tcW w:type="dxa" w:w="6192"/>
            <w:shd w:val="clear" w:color="auto" w:fill="F5F7FA"/>
          </w:tcPr>
          <w:p>
            <w:pPr>
              <w:spacing w:after="20"/>
            </w:pPr>
            <w:r/>
            <w:r>
              <w:rPr>
                <w:sz w:val="18"/>
              </w:rPr>
              <w:t>1329-&gt;132, 84-11-&gt;84-11-88, 613/11-&gt;13/11</w:t>
            </w:r>
          </w:p>
        </w:tc>
      </w:tr>
      <w:tr>
        <w:tc>
          <w:tcPr>
            <w:tcW w:type="dxa" w:w="2736"/>
          </w:tcPr>
          <w:p>
            <w:pPr>
              <w:spacing w:after="20"/>
            </w:pPr>
            <w:r/>
            <w:r>
              <w:rPr>
                <w:sz w:val="18"/>
              </w:rPr>
              <w:t>locality typo</w:t>
            </w:r>
          </w:p>
        </w:tc>
        <w:tc>
          <w:tcPr>
            <w:tcW w:type="dxa" w:w="6192"/>
          </w:tcPr>
          <w:p>
            <w:pPr>
              <w:spacing w:after="20"/>
            </w:pPr>
            <w:r/>
            <w:r>
              <w:rPr>
                <w:sz w:val="18"/>
              </w:rPr>
              <w:t>LUCKNOW-&gt;LCUKNOW, QUINCY-&gt;QUNCY, PARK-&gt;PAKR</w:t>
            </w:r>
          </w:p>
        </w:tc>
      </w:tr>
      <w:tr>
        <w:tc>
          <w:tcPr>
            <w:tcW w:type="dxa" w:w="2736"/>
            <w:shd w:val="clear" w:color="auto" w:fill="F5F7FA"/>
          </w:tcPr>
          <w:p>
            <w:pPr>
              <w:spacing w:after="20"/>
            </w:pPr>
            <w:r/>
            <w:r>
              <w:rPr>
                <w:sz w:val="18"/>
              </w:rPr>
              <w:t>literal null / empty</w:t>
            </w:r>
          </w:p>
        </w:tc>
        <w:tc>
          <w:tcPr>
            <w:tcW w:type="dxa" w:w="6192"/>
            <w:shd w:val="clear" w:color="auto" w:fill="F5F7FA"/>
          </w:tcPr>
          <w:p>
            <w:pPr>
              <w:spacing w:after="20"/>
            </w:pPr>
            <w:r/>
            <w:r>
              <w:rPr>
                <w:sz w:val="18"/>
              </w:rPr>
              <w:t>'&lt;NULL&gt;' string; empty for ~3.4% of S2/S3</w:t>
            </w:r>
          </w:p>
        </w:tc>
      </w:tr>
    </w:tbl>
    <w:p>
      <w:pPr>
        <w:spacing w:after="0"/>
      </w:pPr>
    </w:p>
    <w:p>
      <w:r>
        <w:rPr>
          <w:b w:val="0"/>
          <w:i w:val="0"/>
        </w:rPr>
        <w:t>A worked example of one entity's true match group, showing several operators at once:</w:t>
      </w:r>
    </w:p>
    <w:p>
      <w:pPr>
        <w:spacing w:before="80" w:after="160" w:line="240" w:lineRule="auto"/>
        <w:ind w:left="317"/>
        <w:shd w:val="clear" w:color="auto" w:fill="F2F4F7"/>
      </w:pPr>
      <w:r>
        <w:rPr>
          <w:rFonts w:ascii="Consolas" w:hAnsi="Consolas"/>
          <w:sz w:val="18"/>
        </w:rPr>
        <w:t>S1  Edwards, Hintze &amp; Dougherty          541 14th Street, Newport, OR</w:t>
        <w:br/>
        <w:t>S2  Edwards, Hintze + Dougherty Co       &lt;empty&gt;</w:t>
        <w:br/>
        <w:t>S2  edwardshintzedougherty.com           FOURTEENTH STREET, NEWPORT, OR</w:t>
        <w:br/>
        <w:t>S2  #edwardshintze                      541 FOURTEENTH SAINT, NEWPORT, OR</w:t>
        <w:br/>
        <w:t>S2  Hintze Edwards, Dougherty Services   541 FOURTEENTH ST, NEWPORT, OR</w:t>
        <w:br/>
        <w:t>S2  EDWARD5, HINTZE &amp; DOUGHERTY          ...</w:t>
      </w:r>
    </w:p>
    <w:p>
      <w:pPr>
        <w:pStyle w:val="Heading2"/>
      </w:pPr>
      <w:r>
        <w:t>1.4  Required output</w:t>
      </w:r>
    </w:p>
    <w:p>
      <w:r>
        <w:rPr>
          <w:b w:val="0"/>
          <w:i w:val="0"/>
        </w:rPr>
        <w:t>Two tab-separated files in output/ of the submission package.</w:t>
      </w:r>
    </w:p>
    <w:p>
      <w:r>
        <w:rPr>
          <w:b/>
          <w:i w:val="0"/>
        </w:rPr>
        <w:t>matching_results.tsv</w:t>
      </w:r>
      <w:r>
        <w:rPr>
          <w:b w:val="0"/>
          <w:i w:val="0"/>
        </w:rPr>
        <w:t xml:space="preserve"> - the scored file. Columns source1_entity_id and matched_entity_ids.</w:t>
      </w:r>
    </w:p>
    <w:p>
      <w:pPr>
        <w:spacing w:before="80" w:after="160" w:line="240" w:lineRule="auto"/>
        <w:ind w:left="317"/>
        <w:shd w:val="clear" w:color="auto" w:fill="F2F4F7"/>
      </w:pPr>
      <w:r>
        <w:rPr>
          <w:rFonts w:ascii="Consolas" w:hAnsi="Consolas"/>
          <w:sz w:val="18"/>
        </w:rPr>
        <w:t>source1_entity_id</w:t>
        <w:tab/>
        <w:t>matched_entity_ids</w:t>
        <w:br/>
        <w:t>S1-00001</w:t>
        <w:tab/>
        <w:t>S2-00047,S2-00193,S3-00812</w:t>
        <w:br/>
        <w:t>S1-00002</w:t>
        <w:tab/>
        <w:t>S3-00004</w:t>
        <w:br/>
        <w:t>S1-00003</w:t>
      </w:r>
    </w:p>
    <w:p>
      <w:pPr>
        <w:pStyle w:val="ListBullet"/>
        <w:spacing w:after="40"/>
      </w:pPr>
      <w:r>
        <w:t>Exactly one row per Source 1 test entity; missing entities cause rejection.</w:t>
      </w:r>
    </w:p>
    <w:p>
      <w:pPr>
        <w:pStyle w:val="ListBullet"/>
        <w:spacing w:after="40"/>
      </w:pPr>
      <w:r>
        <w:t>matched_entity_ids empty for singletons.</w:t>
      </w:r>
    </w:p>
    <w:p>
      <w:pPr>
        <w:pStyle w:val="ListBullet"/>
        <w:spacing w:after="40"/>
      </w:pPr>
      <w:r>
        <w:t>No duplicate ids within a list, no duplicate source1_entity_id rows.</w:t>
      </w:r>
    </w:p>
    <w:p>
      <w:pPr>
        <w:pStyle w:val="ListBullet"/>
        <w:spacing w:after="40"/>
      </w:pPr>
      <w:r>
        <w:t>Only S2-/S3- ids that exist in the test set. Self-matches to Source 1 are rejected.</w:t>
      </w:r>
    </w:p>
    <w:p>
      <w:pPr>
        <w:pStyle w:val="ListBullet"/>
        <w:spacing w:after="40"/>
      </w:pPr>
      <w:r>
        <w:t>Single tab between columns, commas between ids, no quoting.</w:t>
      </w:r>
    </w:p>
    <w:p>
      <w:r>
        <w:rPr>
          <w:b/>
          <w:i w:val="0"/>
        </w:rPr>
        <w:t>candidate_pairs.tsv</w:t>
      </w:r>
      <w:r>
        <w:rPr>
          <w:b w:val="0"/>
          <w:i w:val="0"/>
        </w:rPr>
        <w:t xml:space="preserve"> - the blocking audit file. Same shape, with candidate_entity_ids. This must be the final candidate set, the exact set the matcher runs inference over, not the raw output of an early pass that is later filtered. Every id in matching_results.tsv must also appear here.</w:t>
      </w:r>
    </w:p>
    <w:p>
      <w:pPr>
        <w:pStyle w:val="Heading2"/>
      </w:pPr>
      <w:r>
        <w:t>1.5  Evaluation metric and its closed form</w:t>
      </w:r>
    </w:p>
    <w:p>
      <w:r>
        <w:rPr>
          <w:b w:val="0"/>
          <w:i w:val="0"/>
        </w:rPr>
        <w:t>Submissions are scored with F-beta at beta = 0.5, precision-weighted because falsely merging two distinct businesses is more damaging than missing a link. It is computed per Source 1 entity, then macro-averaged over all Source 1 entities. Singletons are included.</w:t>
      </w:r>
    </w:p>
    <w:p>
      <w:pPr>
        <w:spacing w:before="120" w:after="160"/>
        <w:jc w:val="center"/>
      </w:pPr>
      <w:r>
        <w:rPr>
          <w:rFonts w:ascii="Cambria Math" w:hAnsi="Cambria Math"/>
          <w:i/>
          <w:sz w:val="22"/>
        </w:rPr>
        <w:t>F0.5 = (1.25 x Precision x Recall) / (0.25 x Precision + Recall)</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2592"/>
            <w:shd w:val="clear" w:color="auto" w:fill="1F3A5F"/>
          </w:tcPr>
          <w:p>
            <w:pPr>
              <w:spacing w:after="20"/>
            </w:pPr>
            <w:r/>
            <w:r>
              <w:rPr>
                <w:b/>
                <w:color w:val="FFFFFF"/>
                <w:sz w:val="18"/>
              </w:rPr>
              <w:t>True set</w:t>
            </w:r>
          </w:p>
        </w:tc>
        <w:tc>
          <w:tcPr>
            <w:tcW w:type="dxa" w:w="2592"/>
            <w:shd w:val="clear" w:color="auto" w:fill="1F3A5F"/>
          </w:tcPr>
          <w:p>
            <w:pPr>
              <w:spacing w:after="20"/>
            </w:pPr>
            <w:r/>
            <w:r>
              <w:rPr>
                <w:b/>
                <w:color w:val="FFFFFF"/>
                <w:sz w:val="18"/>
              </w:rPr>
              <w:t>Predicted set</w:t>
            </w:r>
          </w:p>
        </w:tc>
        <w:tc>
          <w:tcPr>
            <w:tcW w:type="dxa" w:w="2016"/>
            <w:shd w:val="clear" w:color="auto" w:fill="1F3A5F"/>
          </w:tcPr>
          <w:p>
            <w:pPr>
              <w:spacing w:after="20"/>
            </w:pPr>
            <w:r/>
            <w:r>
              <w:rPr>
                <w:b/>
                <w:color w:val="FFFFFF"/>
                <w:sz w:val="18"/>
              </w:rPr>
              <w:t>Score</w:t>
            </w:r>
          </w:p>
        </w:tc>
      </w:tr>
      <w:tr>
        <w:tc>
          <w:tcPr>
            <w:tcW w:type="dxa" w:w="2592"/>
          </w:tcPr>
          <w:p>
            <w:pPr>
              <w:spacing w:after="20"/>
            </w:pPr>
            <w:r/>
            <w:r>
              <w:rPr>
                <w:sz w:val="18"/>
              </w:rPr>
              <w:t>empty</w:t>
            </w:r>
          </w:p>
        </w:tc>
        <w:tc>
          <w:tcPr>
            <w:tcW w:type="dxa" w:w="2592"/>
          </w:tcPr>
          <w:p>
            <w:pPr>
              <w:spacing w:after="20"/>
            </w:pPr>
            <w:r/>
            <w:r>
              <w:rPr>
                <w:sz w:val="18"/>
              </w:rPr>
              <w:t>empty</w:t>
            </w:r>
          </w:p>
        </w:tc>
        <w:tc>
          <w:tcPr>
            <w:tcW w:type="dxa" w:w="2016"/>
          </w:tcPr>
          <w:p>
            <w:pPr>
              <w:spacing w:after="20"/>
            </w:pPr>
            <w:r/>
            <w:r>
              <w:rPr>
                <w:sz w:val="18"/>
              </w:rPr>
              <w:t>1.0</w:t>
            </w:r>
          </w:p>
        </w:tc>
      </w:tr>
      <w:tr>
        <w:tc>
          <w:tcPr>
            <w:tcW w:type="dxa" w:w="2592"/>
            <w:shd w:val="clear" w:color="auto" w:fill="F5F7FA"/>
          </w:tcPr>
          <w:p>
            <w:pPr>
              <w:spacing w:after="20"/>
            </w:pPr>
            <w:r/>
            <w:r>
              <w:rPr>
                <w:sz w:val="18"/>
              </w:rPr>
              <w:t>empty</w:t>
            </w:r>
          </w:p>
        </w:tc>
        <w:tc>
          <w:tcPr>
            <w:tcW w:type="dxa" w:w="2592"/>
            <w:shd w:val="clear" w:color="auto" w:fill="F5F7FA"/>
          </w:tcPr>
          <w:p>
            <w:pPr>
              <w:spacing w:after="20"/>
            </w:pPr>
            <w:r/>
            <w:r>
              <w:rPr>
                <w:sz w:val="18"/>
              </w:rPr>
              <w:t>non-empty</w:t>
            </w:r>
          </w:p>
        </w:tc>
        <w:tc>
          <w:tcPr>
            <w:tcW w:type="dxa" w:w="2016"/>
            <w:shd w:val="clear" w:color="auto" w:fill="F5F7FA"/>
          </w:tcPr>
          <w:p>
            <w:pPr>
              <w:spacing w:after="20"/>
            </w:pPr>
            <w:r/>
            <w:r>
              <w:rPr>
                <w:sz w:val="18"/>
              </w:rPr>
              <w:t>0.0</w:t>
            </w:r>
          </w:p>
        </w:tc>
      </w:tr>
      <w:tr>
        <w:tc>
          <w:tcPr>
            <w:tcW w:type="dxa" w:w="2592"/>
          </w:tcPr>
          <w:p>
            <w:pPr>
              <w:spacing w:after="20"/>
            </w:pPr>
            <w:r/>
            <w:r>
              <w:rPr>
                <w:sz w:val="18"/>
              </w:rPr>
              <w:t>non-empty</w:t>
            </w:r>
          </w:p>
        </w:tc>
        <w:tc>
          <w:tcPr>
            <w:tcW w:type="dxa" w:w="2592"/>
          </w:tcPr>
          <w:p>
            <w:pPr>
              <w:spacing w:after="20"/>
            </w:pPr>
            <w:r/>
            <w:r>
              <w:rPr>
                <w:sz w:val="18"/>
              </w:rPr>
              <w:t>empty</w:t>
            </w:r>
          </w:p>
        </w:tc>
        <w:tc>
          <w:tcPr>
            <w:tcW w:type="dxa" w:w="2016"/>
          </w:tcPr>
          <w:p>
            <w:pPr>
              <w:spacing w:after="20"/>
            </w:pPr>
            <w:r/>
            <w:r>
              <w:rPr>
                <w:sz w:val="18"/>
              </w:rPr>
              <w:t>0.0</w:t>
            </w:r>
          </w:p>
        </w:tc>
      </w:tr>
    </w:tbl>
    <w:p>
      <w:pPr>
        <w:spacing w:after="0"/>
      </w:pPr>
    </w:p>
    <w:p>
      <w:pPr>
        <w:spacing w:before="40" w:after="240"/>
      </w:pPr>
      <w:r>
        <w:rPr>
          <w:i/>
          <w:color w:val="606060"/>
          <w:sz w:val="17"/>
        </w:rPr>
        <w:t>Edge cases as stated in the problem.</w:t>
      </w:r>
    </w:p>
    <w:p>
      <w:r>
        <w:rPr>
          <w:b w:val="0"/>
          <w:i w:val="0"/>
        </w:rPr>
        <w:t>Worked example from the problem statement: predicted [S2-00047, S2-00193, S3-00812] against truth [S2-00047, S3-00812] gives precision 2/3, recall 1.0, and F0.5 = (1.25 x 0.667 x 1.0) / (0.25 x 0.667 + 1.0) = 0.714.</w:t>
      </w:r>
    </w:p>
    <w:p>
      <w:pPr>
        <w:pStyle w:val="Heading3"/>
      </w:pPr>
      <w:r>
        <w:t>1.5.1  The algebraic simplification everything rests on</w:t>
      </w:r>
    </w:p>
    <w:p>
      <w:r>
        <w:rPr>
          <w:b w:val="0"/>
          <w:i w:val="0"/>
        </w:rPr>
        <w:t>Substituting P = TP/|S| and R = TP/|T| and cancelling TP:</w:t>
      </w:r>
    </w:p>
    <w:p>
      <w:pPr>
        <w:spacing w:before="120" w:after="160"/>
        <w:jc w:val="center"/>
      </w:pPr>
      <w:r>
        <w:rPr>
          <w:rFonts w:ascii="Cambria Math" w:hAnsi="Cambria Math"/>
          <w:i/>
          <w:sz w:val="22"/>
        </w:rPr>
        <w:t>F0.5(S, T)  =  1.25 |S ∩ T| / (0.25 |T| + |S|),      F0.5(∅, ∅) = 1</w:t>
      </w:r>
    </w:p>
    <w:p>
      <w:r>
        <w:rPr>
          <w:b w:val="0"/>
          <w:i w:val="0"/>
        </w:rPr>
        <w:t>The result is linear in TP with a denominator that depends only on the two set sizes. That is the single most exploitable property of this metric: it makes the per-entity set choice exactly optimisable rather than heuristic, which is what Part 2 builds on.</w:t>
      </w:r>
    </w:p>
    <w:p>
      <w:pPr>
        <w:pStyle w:val="Heading3"/>
      </w:pPr>
      <w:r>
        <w:t>1.5.2  What the metric implies</w:t>
      </w:r>
    </w:p>
    <w:p>
      <w:pPr>
        <w:pStyle w:val="ListBullet"/>
        <w:spacing w:after="40"/>
      </w:pPr>
      <w:r>
        <w:t>A global probability threshold is the wrong tool. The marginal value of adding a candidate depends on how many candidates were already emitted for that entity and on the likely size of that entity's true set.</w:t>
      </w:r>
    </w:p>
    <w:p>
      <w:pPr>
        <w:pStyle w:val="ListBullet"/>
        <w:spacing w:after="40"/>
      </w:pPr>
      <w:r>
        <w:t>Singletons are free points. A correct empty prediction pays a full 1.0; a single false positive on a singleton costs the entire entity.</w:t>
      </w:r>
    </w:p>
    <w:p>
      <w:pPr>
        <w:pStyle w:val="ListBullet"/>
        <w:spacing w:after="40"/>
      </w:pPr>
      <w:r>
        <w:t>Big entities are worth no more than small ones. Macro-averaging removes any incentive to optimise for high-degree entities, so per-entity calibration beats global tuning.</w:t>
      </w:r>
    </w:p>
    <w:p>
      <w:pPr>
        <w:pStyle w:val="Heading2"/>
      </w:pPr>
      <w:r>
        <w:t>1.6  Constraints and rules</w:t>
      </w:r>
    </w:p>
    <w:p>
      <w:pPr>
        <w:pStyle w:val="Heading3"/>
      </w:pPr>
      <w:r>
        <w:t>1.6.1  Hard constraints</w:t>
      </w:r>
    </w:p>
    <w:p>
      <w:pPr>
        <w:pStyle w:val="ListNumber"/>
        <w:spacing w:after="40"/>
      </w:pPr>
      <w:r>
        <w:t>Output format must match exactly; failing validation means no evaluation.</w:t>
      </w:r>
    </w:p>
    <w:p>
      <w:pPr>
        <w:pStyle w:val="ListNumber"/>
        <w:spacing w:after="40"/>
      </w:pPr>
      <w:r>
        <w:t>matched_entity_ids may reference only Source 2 / Source 3 entities present in the test set.</w:t>
      </w:r>
    </w:p>
    <w:p>
      <w:pPr>
        <w:pStyle w:val="ListNumber"/>
        <w:spacing w:after="40"/>
      </w:pPr>
      <w:r>
        <w:t>Every Source 1 entity must appear in the submission.</w:t>
      </w:r>
    </w:p>
    <w:p>
      <w:pPr>
        <w:pStyle w:val="ListNumber"/>
        <w:spacing w:after="40"/>
      </w:pPr>
      <w:r>
        <w:t>No duplicate entity ids in any list, no duplicate source1_entity_id rows.</w:t>
      </w:r>
    </w:p>
    <w:p>
      <w:pPr>
        <w:pStyle w:val="ListNumber"/>
        <w:spacing w:after="40"/>
      </w:pPr>
      <w:r>
        <w:t>The final model must be MIT / Apache-2.0 licensed and at most 8 billion parameters.</w:t>
      </w:r>
    </w:p>
    <w:p>
      <w:pPr>
        <w:pStyle w:val="Heading3"/>
      </w:pPr>
      <w:r>
        <w:t>1.6.2  Academic integrity</w:t>
      </w:r>
    </w:p>
    <w:p>
      <w:r>
        <w:rPr>
          <w:b w:val="0"/>
          <w:i w:val="0"/>
        </w:rPr>
        <w:t>External data lookup of any kind is banned and results in immediate disqualification: commercial entity-resolution APIs, government business registries, geocoding APIs, and any external data augmentation from internet sources.</w:t>
      </w:r>
    </w:p>
    <w:p>
      <w:r>
        <w:rPr>
          <w:b w:val="0"/>
          <w:i w:val="0"/>
        </w:rPr>
        <w:t xml:space="preserve">The distinction this leaves open is load-bearing for the design: </w:t>
      </w:r>
      <w:r>
        <w:rPr>
          <w:b/>
          <w:i w:val="0"/>
        </w:rPr>
        <w:t>transductive use of the provided test records themselves</w:t>
      </w:r>
      <w:r>
        <w:rPr>
          <w:b w:val="0"/>
          <w:i w:val="0"/>
        </w:rPr>
        <w:t xml:space="preserve"> - unsupervised structure, corpus statistics, self-supervised augmentation - is not external data. It is the given data.</w:t>
      </w:r>
    </w:p>
    <w:p>
      <w:pPr>
        <w:pStyle w:val="Heading3"/>
      </w:pPr>
      <w:r>
        <w:t>1.6.3  Logistics</w:t>
      </w:r>
    </w:p>
    <w:p>
      <w:pPr>
        <w:pStyle w:val="ListBullet"/>
        <w:spacing w:after="40"/>
      </w:pPr>
      <w:r>
        <w:t>Challenge window: 25 Sep 2026 00:00 IST to 27 Sep 2026 23:59 IST (3 days).</w:t>
      </w:r>
    </w:p>
    <w:p>
      <w:pPr>
        <w:pStyle w:val="ListBullet"/>
        <w:spacing w:after="40"/>
      </w:pPr>
      <w:r>
        <w:t>Maximum 5 submissions per day; keep version history of every submission.</w:t>
      </w:r>
    </w:p>
    <w:p>
      <w:pPr>
        <w:pStyle w:val="ListBullet"/>
        <w:spacing w:after="40"/>
      </w:pPr>
      <w:r>
        <w:t>Two leaderboards: public (live subset) and private (revealed at the end). Final ranking is the private leaderboard.</w:t>
      </w:r>
    </w:p>
    <w:p>
      <w:pPr>
        <w:pStyle w:val="ListBullet"/>
        <w:spacing w:after="40"/>
      </w:pPr>
      <w:r>
        <w:t>Top 100 teams must submit methodology, blocking strategy, model architecture and feature engineering write-ups.</w:t>
      </w:r>
    </w:p>
    <w:p>
      <w:pPr>
        <w:pStyle w:val="Heading2"/>
      </w:pPr>
      <w:r>
        <w:t>1.7  Two exploitable structural facts</w:t>
      </w:r>
    </w:p>
    <w:p>
      <w:r>
        <w:rPr>
          <w:b w:val="0"/>
          <w:i w:val="0"/>
        </w:rPr>
        <w:t>Neither is stated as a constraint, but both are true of the generating process and both were verified on the real ground truth (Part 3.1).</w:t>
      </w:r>
    </w:p>
    <w:p>
      <w:r>
        <w:rPr>
          <w:b/>
          <w:i w:val="0"/>
        </w:rPr>
        <w:t xml:space="preserve">Disjointness. </w:t>
      </w:r>
      <w:r>
        <w:rPr>
          <w:b w:val="0"/>
          <w:i w:val="0"/>
        </w:rPr>
        <w:t>Source 1 is deduplicated, so distinct Source 1 records are distinct businesses and the true sets are pairwise disjoint: a Source 2/3 record belongs to at most one Source 1 entity. This turns the problem into a constrained assignment, which is strictly more information than independent pairwise classification.</w:t>
      </w:r>
    </w:p>
    <w:p>
      <w:r>
        <w:rPr>
          <w:b/>
          <w:i w:val="0"/>
        </w:rPr>
        <w:t xml:space="preserve">Corroboration. </w:t>
      </w:r>
      <w:r>
        <w:rPr>
          <w:b w:val="0"/>
          <w:i w:val="0"/>
        </w:rPr>
        <w:t>Sources 2 and 3 describe the same businesses, so a strong S2-S3 similarity is evidence that the two records share a Source 1 parent, even when neither links confidently to Source 1 on its own. The tripartite graph carries information no pairwise (a, .) model can see.</w:t>
      </w:r>
    </w:p>
    <w:p>
      <w:r>
        <w:br w:type="page"/>
      </w:r>
    </w:p>
    <w:p>
      <w:pPr>
        <w:pStyle w:val="Heading1"/>
      </w:pPr>
      <w:r>
        <w:t>Part 2 - The solution idea: TRICE</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864"/>
            <w:shd w:val="clear" w:color="auto" w:fill="1F3A5F"/>
          </w:tcPr>
          <w:p>
            <w:pPr>
              <w:spacing w:after="20"/>
            </w:pPr>
            <w:r/>
            <w:r>
              <w:rPr>
                <w:b/>
                <w:color w:val="FFFFFF"/>
                <w:sz w:val="18"/>
              </w:rPr>
              <w:t>Stage</w:t>
            </w:r>
          </w:p>
        </w:tc>
        <w:tc>
          <w:tcPr>
            <w:tcW w:type="dxa" w:w="3456"/>
            <w:shd w:val="clear" w:color="auto" w:fill="1F3A5F"/>
          </w:tcPr>
          <w:p>
            <w:pPr>
              <w:spacing w:after="20"/>
            </w:pPr>
            <w:r/>
            <w:r>
              <w:rPr>
                <w:b/>
                <w:color w:val="FFFFFF"/>
                <w:sz w:val="18"/>
              </w:rPr>
              <w:t>Name</w:t>
            </w:r>
          </w:p>
        </w:tc>
        <w:tc>
          <w:tcPr>
            <w:tcW w:type="dxa" w:w="4608"/>
            <w:shd w:val="clear" w:color="auto" w:fill="1F3A5F"/>
          </w:tcPr>
          <w:p>
            <w:pPr>
              <w:spacing w:after="20"/>
            </w:pPr>
            <w:r/>
            <w:r>
              <w:rPr>
                <w:b/>
                <w:color w:val="FFFFFF"/>
                <w:sz w:val="18"/>
              </w:rPr>
              <w:t>What it fixes</w:t>
            </w:r>
          </w:p>
        </w:tc>
      </w:tr>
      <w:tr>
        <w:tc>
          <w:tcPr>
            <w:tcW w:type="dxa" w:w="864"/>
          </w:tcPr>
          <w:p>
            <w:pPr>
              <w:spacing w:after="20"/>
            </w:pPr>
            <w:r/>
            <w:r>
              <w:rPr>
                <w:sz w:val="18"/>
              </w:rPr>
              <w:t>T</w:t>
            </w:r>
          </w:p>
        </w:tc>
        <w:tc>
          <w:tcPr>
            <w:tcW w:type="dxa" w:w="3456"/>
          </w:tcPr>
          <w:p>
            <w:pPr>
              <w:spacing w:after="20"/>
            </w:pPr>
            <w:r/>
            <w:r>
              <w:rPr>
                <w:sz w:val="18"/>
              </w:rPr>
              <w:t>Tripartite message passing</w:t>
            </w:r>
          </w:p>
        </w:tc>
        <w:tc>
          <w:tcPr>
            <w:tcW w:type="dxa" w:w="4608"/>
          </w:tcPr>
          <w:p>
            <w:pPr>
              <w:spacing w:after="20"/>
            </w:pPr>
            <w:r/>
            <w:r>
              <w:rPr>
                <w:sz w:val="18"/>
              </w:rPr>
              <w:t>The unused half of the graph: S2-S3 corroboration.</w:t>
            </w:r>
          </w:p>
        </w:tc>
      </w:tr>
      <w:tr>
        <w:tc>
          <w:tcPr>
            <w:tcW w:type="dxa" w:w="864"/>
            <w:shd w:val="clear" w:color="auto" w:fill="F5F7FA"/>
          </w:tcPr>
          <w:p>
            <w:pPr>
              <w:spacing w:after="20"/>
            </w:pPr>
            <w:r/>
            <w:r>
              <w:rPr>
                <w:sz w:val="18"/>
              </w:rPr>
              <w:t>R</w:t>
            </w:r>
          </w:p>
        </w:tc>
        <w:tc>
          <w:tcPr>
            <w:tcW w:type="dxa" w:w="3456"/>
            <w:shd w:val="clear" w:color="auto" w:fill="F5F7FA"/>
          </w:tcPr>
          <w:p>
            <w:pPr>
              <w:spacing w:after="20"/>
            </w:pPr>
            <w:r/>
            <w:r>
              <w:rPr>
                <w:sz w:val="18"/>
              </w:rPr>
              <w:t>Reciprocal competition normalisation</w:t>
            </w:r>
          </w:p>
        </w:tc>
        <w:tc>
          <w:tcPr>
            <w:tcW w:type="dxa" w:w="4608"/>
            <w:shd w:val="clear" w:color="auto" w:fill="F5F7FA"/>
          </w:tcPr>
          <w:p>
            <w:pPr>
              <w:spacing w:after="20"/>
            </w:pPr>
            <w:r/>
            <w:r>
              <w:rPr>
                <w:sz w:val="18"/>
              </w:rPr>
              <w:t>The violated independence assumption: disjointness.</w:t>
            </w:r>
          </w:p>
        </w:tc>
      </w:tr>
      <w:tr>
        <w:tc>
          <w:tcPr>
            <w:tcW w:type="dxa" w:w="864"/>
          </w:tcPr>
          <w:p>
            <w:pPr>
              <w:spacing w:after="20"/>
            </w:pPr>
            <w:r/>
            <w:r>
              <w:rPr>
                <w:sz w:val="18"/>
              </w:rPr>
              <w:t>I</w:t>
            </w:r>
          </w:p>
        </w:tc>
        <w:tc>
          <w:tcPr>
            <w:tcW w:type="dxa" w:w="3456"/>
          </w:tcPr>
          <w:p>
            <w:pPr>
              <w:spacing w:after="20"/>
            </w:pPr>
            <w:r/>
            <w:r>
              <w:rPr>
                <w:sz w:val="18"/>
              </w:rPr>
              <w:t>In-domain noise replay</w:t>
            </w:r>
          </w:p>
        </w:tc>
        <w:tc>
          <w:tcPr>
            <w:tcW w:type="dxa" w:w="4608"/>
          </w:tcPr>
          <w:p>
            <w:pPr>
              <w:spacing w:after="20"/>
            </w:pPr>
            <w:r/>
            <w:r>
              <w:rPr>
                <w:sz w:val="18"/>
              </w:rPr>
              <w:t>Zero-shot France with no external data allowed.</w:t>
            </w:r>
          </w:p>
        </w:tc>
      </w:tr>
      <w:tr>
        <w:tc>
          <w:tcPr>
            <w:tcW w:type="dxa" w:w="864"/>
            <w:shd w:val="clear" w:color="auto" w:fill="F5F7FA"/>
          </w:tcPr>
          <w:p>
            <w:pPr>
              <w:spacing w:after="20"/>
            </w:pPr>
            <w:r/>
            <w:r>
              <w:rPr>
                <w:sz w:val="18"/>
              </w:rPr>
              <w:t>C</w:t>
            </w:r>
          </w:p>
        </w:tc>
        <w:tc>
          <w:tcPr>
            <w:tcW w:type="dxa" w:w="3456"/>
            <w:shd w:val="clear" w:color="auto" w:fill="F5F7FA"/>
          </w:tcPr>
          <w:p>
            <w:pPr>
              <w:spacing w:after="20"/>
            </w:pPr>
            <w:r/>
            <w:r>
              <w:rPr>
                <w:sz w:val="18"/>
              </w:rPr>
              <w:t>Country-conditional calibration</w:t>
            </w:r>
          </w:p>
        </w:tc>
        <w:tc>
          <w:tcPr>
            <w:tcW w:type="dxa" w:w="4608"/>
            <w:shd w:val="clear" w:color="auto" w:fill="F5F7FA"/>
          </w:tcPr>
          <w:p>
            <w:pPr>
              <w:spacing w:after="20"/>
            </w:pPr>
            <w:r/>
            <w:r>
              <w:rPr>
                <w:sz w:val="18"/>
              </w:rPr>
              <w:t>Probabilities that are honest per country.</w:t>
            </w:r>
          </w:p>
        </w:tc>
      </w:tr>
      <w:tr>
        <w:tc>
          <w:tcPr>
            <w:tcW w:type="dxa" w:w="864"/>
          </w:tcPr>
          <w:p>
            <w:pPr>
              <w:spacing w:after="20"/>
            </w:pPr>
            <w:r/>
            <w:r>
              <w:rPr>
                <w:sz w:val="18"/>
              </w:rPr>
              <w:t>E</w:t>
            </w:r>
          </w:p>
        </w:tc>
        <w:tc>
          <w:tcPr>
            <w:tcW w:type="dxa" w:w="3456"/>
          </w:tcPr>
          <w:p>
            <w:pPr>
              <w:spacing w:after="20"/>
            </w:pPr>
            <w:r/>
            <w:r>
              <w:rPr>
                <w:sz w:val="18"/>
              </w:rPr>
              <w:t>Expected-F0.5 set selection</w:t>
            </w:r>
          </w:p>
        </w:tc>
        <w:tc>
          <w:tcPr>
            <w:tcW w:type="dxa" w:w="4608"/>
          </w:tcPr>
          <w:p>
            <w:pPr>
              <w:spacing w:after="20"/>
            </w:pPr>
            <w:r/>
            <w:r>
              <w:rPr>
                <w:sz w:val="18"/>
              </w:rPr>
              <w:t>The wrong decision rule: a single global threshold.</w:t>
            </w:r>
          </w:p>
        </w:tc>
      </w:tr>
    </w:tbl>
    <w:p>
      <w:pPr>
        <w:spacing w:after="0"/>
      </w:pPr>
    </w:p>
    <w:p>
      <w:pPr>
        <w:pStyle w:val="Heading2"/>
      </w:pPr>
      <w:r>
        <w:t>2.1  One-sentence version, and what the obvious pipeline loses</w:t>
      </w:r>
    </w:p>
    <w:p>
      <w:r>
        <w:rPr>
          <w:b w:val="0"/>
          <w:i w:val="0"/>
        </w:rPr>
        <w:t>Most entity-resolution pipelines end with 'score every pair, threshold, emit'. TRICE replaces the final threshold with an exact Bayes-optimal set decision derived from the closed form of the scoring metric, and feeds that decision with probabilities corrected for two things a pairwise model structurally cannot see: that Source 2/3 records compete for a single Source 1 parent, and that Source 2 and Source 3 records corroborate each other.</w:t>
      </w:r>
    </w:p>
    <w:tbl>
      <w:tblPr>
        <w:tblStyle w:val="TableGrid"/>
        <w:tblW w:type="auto" w:w="0"/>
        <w:jc w:val="center"/>
        <w:tblLayout w:type="autofit"/>
        <w:tblLook w:firstColumn="1" w:firstRow="1" w:lastColumn="0" w:lastRow="0" w:noHBand="0" w:noVBand="1" w:val="04A0"/>
      </w:tblPr>
      <w:tblGrid>
        <w:gridCol w:w="4752"/>
        <w:gridCol w:w="4752"/>
      </w:tblGrid>
      <w:tr>
        <w:tc>
          <w:tcPr>
            <w:tcW w:type="dxa" w:w="2736"/>
            <w:shd w:val="clear" w:color="auto" w:fill="1F3A5F"/>
          </w:tcPr>
          <w:p>
            <w:pPr>
              <w:spacing w:after="20"/>
            </w:pPr>
            <w:r/>
            <w:r>
              <w:rPr>
                <w:b/>
                <w:color w:val="FFFFFF"/>
                <w:sz w:val="18"/>
              </w:rPr>
              <w:t>Loss in the default pipeline</w:t>
            </w:r>
          </w:p>
        </w:tc>
        <w:tc>
          <w:tcPr>
            <w:tcW w:type="dxa" w:w="6192"/>
            <w:shd w:val="clear" w:color="auto" w:fill="1F3A5F"/>
          </w:tcPr>
          <w:p>
            <w:pPr>
              <w:spacing w:after="20"/>
            </w:pPr>
            <w:r/>
            <w:r>
              <w:rPr>
                <w:b/>
                <w:color w:val="FFFFFF"/>
                <w:sz w:val="18"/>
              </w:rPr>
              <w:t>Cause</w:t>
            </w:r>
          </w:p>
        </w:tc>
      </w:tr>
      <w:tr>
        <w:tc>
          <w:tcPr>
            <w:tcW w:type="dxa" w:w="2736"/>
          </w:tcPr>
          <w:p>
            <w:pPr>
              <w:spacing w:after="20"/>
            </w:pPr>
            <w:r/>
            <w:r>
              <w:rPr>
                <w:sz w:val="18"/>
              </w:rPr>
              <w:t>Wrong decision rule</w:t>
            </w:r>
          </w:p>
        </w:tc>
        <w:tc>
          <w:tcPr>
            <w:tcW w:type="dxa" w:w="6192"/>
          </w:tcPr>
          <w:p>
            <w:pPr>
              <w:spacing w:after="20"/>
            </w:pPr>
            <w:r/>
            <w:r>
              <w:rPr>
                <w:sz w:val="18"/>
              </w:rPr>
              <w:t>A single global threshold is used to optimise a metric that is per-entity, non-linear and size-dependent. The optimal threshold genuinely differs entity by entity.</w:t>
            </w:r>
          </w:p>
        </w:tc>
      </w:tr>
      <w:tr>
        <w:tc>
          <w:tcPr>
            <w:tcW w:type="dxa" w:w="2736"/>
            <w:shd w:val="clear" w:color="auto" w:fill="F5F7FA"/>
          </w:tcPr>
          <w:p>
            <w:pPr>
              <w:spacing w:after="20"/>
            </w:pPr>
            <w:r/>
            <w:r>
              <w:rPr>
                <w:sz w:val="18"/>
              </w:rPr>
              <w:t>Independence assumption violated</w:t>
            </w:r>
          </w:p>
        </w:tc>
        <w:tc>
          <w:tcPr>
            <w:tcW w:type="dxa" w:w="6192"/>
            <w:shd w:val="clear" w:color="auto" w:fill="F5F7FA"/>
          </w:tcPr>
          <w:p>
            <w:pPr>
              <w:spacing w:after="20"/>
            </w:pPr>
            <w:r/>
            <w:r>
              <w:rPr>
                <w:sz w:val="18"/>
              </w:rPr>
              <w:t>True match sets are pairwise disjoint. A pairwise model scores (a,b) without knowing that b looks even better next to some other a'.</w:t>
            </w:r>
          </w:p>
        </w:tc>
      </w:tr>
      <w:tr>
        <w:tc>
          <w:tcPr>
            <w:tcW w:type="dxa" w:w="2736"/>
          </w:tcPr>
          <w:p>
            <w:pPr>
              <w:spacing w:after="20"/>
            </w:pPr>
            <w:r/>
            <w:r>
              <w:rPr>
                <w:sz w:val="18"/>
              </w:rPr>
              <w:t>Half the graph ignored</w:t>
            </w:r>
          </w:p>
        </w:tc>
        <w:tc>
          <w:tcPr>
            <w:tcW w:type="dxa" w:w="6192"/>
          </w:tcPr>
          <w:p>
            <w:pPr>
              <w:spacing w:after="20"/>
            </w:pPr>
            <w:r/>
            <w:r>
              <w:rPr>
                <w:sz w:val="18"/>
              </w:rPr>
              <w:t>b in S2 and c in S3 that are obviously the same business corroborate each other. A model that only sees (S1,S2) and (S1,S3) edges never uses the S2-S3 edges.</w:t>
            </w:r>
          </w:p>
        </w:tc>
      </w:tr>
      <w:tr>
        <w:tc>
          <w:tcPr>
            <w:tcW w:type="dxa" w:w="2736"/>
            <w:shd w:val="clear" w:color="auto" w:fill="F5F7FA"/>
          </w:tcPr>
          <w:p>
            <w:pPr>
              <w:spacing w:after="20"/>
            </w:pPr>
            <w:r/>
            <w:r>
              <w:rPr>
                <w:sz w:val="18"/>
              </w:rPr>
              <w:t>Zero-shot calibration drift</w:t>
            </w:r>
          </w:p>
        </w:tc>
        <w:tc>
          <w:tcPr>
            <w:tcW w:type="dxa" w:w="6192"/>
            <w:shd w:val="clear" w:color="auto" w:fill="F5F7FA"/>
          </w:tcPr>
          <w:p>
            <w:pPr>
              <w:spacing w:after="20"/>
            </w:pPr>
            <w:r/>
            <w:r>
              <w:rPr>
                <w:sz w:val="18"/>
              </w:rPr>
              <w:t>The matcher, and more damagingly its probability calibration, is fit on US/India and applied to France. A miscalibrated p breaks any decision rule, optimal or not.</w:t>
            </w:r>
          </w:p>
        </w:tc>
      </w:tr>
    </w:tbl>
    <w:p>
      <w:pPr>
        <w:spacing w:after="0"/>
      </w:pPr>
    </w:p>
    <w:p>
      <w:pPr>
        <w:pStyle w:val="Heading2"/>
      </w:pPr>
      <w:r>
        <w:t>2.2  Stage E - exact expected-F0.5 set selection</w:t>
      </w:r>
    </w:p>
    <w:p>
      <w:r>
        <w:rPr>
          <w:b w:val="0"/>
          <w:i w:val="0"/>
        </w:rPr>
        <w:t>This is the core idea, so it is presented first even though it runs last.</w:t>
      </w:r>
    </w:p>
    <w:p>
      <w:pPr>
        <w:pStyle w:val="Heading3"/>
      </w:pPr>
      <w:r>
        <w:t>2.2.1  The decision problem</w:t>
      </w:r>
    </w:p>
    <w:p>
      <w:r>
        <w:rPr>
          <w:b w:val="0"/>
          <w:i w:val="0"/>
        </w:rPr>
        <w:t>For one Source 1 entity with candidate records 1..n and calibrated marginal match probabilities p1..pn, choose the subset S of {1..n} maximising</w:t>
      </w:r>
    </w:p>
    <w:p>
      <w:pPr>
        <w:spacing w:before="120" w:after="160"/>
        <w:jc w:val="center"/>
      </w:pPr>
      <w:r>
        <w:rPr>
          <w:rFonts w:ascii="Cambria Math" w:hAnsi="Cambria Math"/>
          <w:i/>
          <w:sz w:val="22"/>
        </w:rPr>
        <w:t>E[ F0.5(S, T) ]  =  E[ 1.25 · TP_S / (0.25 |T| + |S|) ]</w:t>
      </w:r>
    </w:p>
    <w:p>
      <w:r>
        <w:rPr>
          <w:b w:val="0"/>
          <w:i w:val="0"/>
        </w:rPr>
        <w:t>where TP_S is the sum of Y_i over i in S, |T| is the sum of all Y_i plus M, each Y_i is Bernoulli(p_i), and M is the number of true matches that blocking never retrieved.</w:t>
      </w:r>
    </w:p>
    <w:p>
      <w:pPr>
        <w:pStyle w:val="Heading3"/>
      </w:pPr>
      <w:r>
        <w:t>2.2.2  Two facts that collapse a 2^n search to n+1 evaluations</w:t>
      </w:r>
    </w:p>
    <w:p>
      <w:r>
        <w:rPr>
          <w:b/>
          <w:i w:val="0"/>
        </w:rPr>
        <w:t xml:space="preserve">Fact 1. </w:t>
      </w:r>
      <w:r>
        <w:rPr>
          <w:b w:val="0"/>
          <w:i w:val="0"/>
        </w:rPr>
        <w:t>For a fixed size k = |S|, the optimal S is the top-k by probability. |T| does not depend on S - it is a property of nature, not of our choice - so with k fixed the denominator is a random variable independent of which k candidates are picked. Maximising E[F] reduces to stochastically maximising TP_S, and since</w:t>
      </w:r>
    </w:p>
    <w:p>
      <w:pPr>
        <w:spacing w:before="120" w:after="160"/>
        <w:jc w:val="center"/>
      </w:pPr>
      <w:r>
        <w:rPr>
          <w:rFonts w:ascii="Cambria Math" w:hAnsi="Cambria Math"/>
          <w:i/>
          <w:sz w:val="22"/>
        </w:rPr>
        <w:t>F(t+1, f-1, k) − F(t, f, k)  =  1.25 / (0.25(t+f) + k)  &gt;  0</w:t>
      </w:r>
    </w:p>
    <w:p>
      <w:r>
        <w:rPr>
          <w:b w:val="0"/>
          <w:i w:val="0"/>
        </w:rPr>
        <w:t>swapping any selected candidate for an unselected one with higher probability weakly increases the objective. The top-k prefix of the descending-p ordering is therefore optimal.</w:t>
      </w:r>
    </w:p>
    <w:p>
      <w:r>
        <w:rPr>
          <w:b/>
          <w:i w:val="0"/>
        </w:rPr>
        <w:t xml:space="preserve">Fact 2. </w:t>
      </w:r>
      <w:r>
        <w:rPr>
          <w:b w:val="0"/>
          <w:i w:val="0"/>
        </w:rPr>
        <w:t>k ranges only over 0..n. So n+1 candidate sets are evaluated and the argmax taken - exactly, not greedily.</w:t>
      </w:r>
    </w:p>
    <w:p>
      <w:pPr>
        <w:pStyle w:val="Heading3"/>
      </w:pPr>
      <w:r>
        <w:t>2.2.3  Computing E[F | k] exactly</w:t>
      </w:r>
    </w:p>
    <w:p>
      <w:r>
        <w:rPr>
          <w:b w:val="0"/>
          <w:i w:val="0"/>
        </w:rPr>
        <w:t>Sort so p1 &gt;= p2 &gt;= ... &gt;= pn and take S = {1..k}. Then TP follows a Poisson-binomial over p1..pk, and FN follows a Poisson-binomial over p(k+1)..pn plus M, independent of TP. Both pmfs come from the standard O(n^2) DP, dp[j] &lt;- dp[j](1-p) + dp[j-1]p, and</w:t>
      </w:r>
    </w:p>
    <w:p>
      <w:pPr>
        <w:spacing w:before="120" w:after="160"/>
        <w:jc w:val="center"/>
      </w:pPr>
      <w:r>
        <w:rPr>
          <w:rFonts w:ascii="Cambria Math" w:hAnsi="Cambria Math"/>
          <w:i/>
          <w:sz w:val="22"/>
        </w:rPr>
        <w:t>E[F | k]  =  Σ_t Σ_f  Pr[TP=t] · Pr[FN=f] · F(t, f, k)</w:t>
      </w:r>
    </w:p>
    <w:p>
      <w:r>
        <w:rPr>
          <w:b w:val="0"/>
          <w:i w:val="0"/>
        </w:rPr>
        <w:t>with F(t,f,k) = 1 when k = 0 and f = 0, and 1.25t / (0.25(t+f) + k) otherwise. Since n is the per-entity candidate cap - tens, not thousands - this is microseconds per entity and fully vectorisable as an outer product against a precomputed F table.</w:t>
      </w:r>
    </w:p>
    <w:p>
      <w:pPr>
        <w:pStyle w:val="Heading3"/>
      </w:pPr>
      <w:r>
        <w:t>2.2.4  Why this is the interesting part</w:t>
      </w:r>
    </w:p>
    <w:p>
      <w:r>
        <w:rPr>
          <w:b/>
          <w:i w:val="0"/>
        </w:rPr>
        <w:t xml:space="preserve">The singleton decision falls out of the same formula. </w:t>
      </w:r>
      <w:r>
        <w:rPr>
          <w:b w:val="0"/>
          <w:i w:val="0"/>
        </w:rPr>
        <w:t>Setting k = 0 gives E[F | k=0] = Pr[|T| = 0] = the product of (1 - p_i) times Pr[M = 0]. So 'predict nothing' wins exactly when the probability that this entity has no match at all exceeds the best achievable expected score from predicting something. No separate singleton classifier, no hand-tuned singleton threshold.</w:t>
      </w:r>
    </w:p>
    <w:p>
      <w:r>
        <w:rPr>
          <w:b w:val="0"/>
          <w:i w:val="0"/>
        </w:rPr>
        <w:t>It also produces per-entity adaptive behaviour for free. The implied threshold moves with the evidence profile:</w:t>
      </w:r>
    </w:p>
    <w:tbl>
      <w:tblPr>
        <w:tblStyle w:val="TableGrid"/>
        <w:tblW w:type="auto" w:w="0"/>
        <w:jc w:val="center"/>
        <w:tblLayout w:type="autofit"/>
        <w:tblLook w:firstColumn="1" w:firstRow="1" w:lastColumn="0" w:lastRow="0" w:noHBand="0" w:noVBand="1" w:val="04A0"/>
      </w:tblPr>
      <w:tblGrid>
        <w:gridCol w:w="4752"/>
        <w:gridCol w:w="4752"/>
      </w:tblGrid>
      <w:tr>
        <w:tc>
          <w:tcPr>
            <w:tcW w:type="dxa" w:w="3312"/>
            <w:shd w:val="clear" w:color="auto" w:fill="1F3A5F"/>
          </w:tcPr>
          <w:p>
            <w:pPr>
              <w:spacing w:after="20"/>
            </w:pPr>
            <w:r/>
            <w:r>
              <w:rPr>
                <w:b/>
                <w:color w:val="FFFFFF"/>
                <w:sz w:val="18"/>
              </w:rPr>
              <w:t>Entity's probability profile</w:t>
            </w:r>
          </w:p>
        </w:tc>
        <w:tc>
          <w:tcPr>
            <w:tcW w:type="dxa" w:w="5616"/>
            <w:shd w:val="clear" w:color="auto" w:fill="1F3A5F"/>
          </w:tcPr>
          <w:p>
            <w:pPr>
              <w:spacing w:after="20"/>
            </w:pPr>
            <w:r/>
            <w:r>
              <w:rPr>
                <w:b/>
                <w:color w:val="FFFFFF"/>
                <w:sz w:val="18"/>
              </w:rPr>
              <w:t>What the rule does</w:t>
            </w:r>
          </w:p>
        </w:tc>
      </w:tr>
      <w:tr>
        <w:tc>
          <w:tcPr>
            <w:tcW w:type="dxa" w:w="3312"/>
          </w:tcPr>
          <w:p>
            <w:pPr>
              <w:spacing w:after="20"/>
            </w:pPr>
            <w:r/>
            <w:r>
              <w:rPr>
                <w:sz w:val="18"/>
              </w:rPr>
              <w:t>one candidate at p = 0.55, rest near 0</w:t>
            </w:r>
          </w:p>
        </w:tc>
        <w:tc>
          <w:tcPr>
            <w:tcW w:type="dxa" w:w="5616"/>
          </w:tcPr>
          <w:p>
            <w:pPr>
              <w:spacing w:after="20"/>
            </w:pPr>
            <w:r/>
            <w:r>
              <w:rPr>
                <w:sz w:val="18"/>
              </w:rPr>
              <w:t>often emits it: E[F|1] is about 0.55 versus E[F|0] about 0.45</w:t>
            </w:r>
          </w:p>
        </w:tc>
      </w:tr>
      <w:tr>
        <w:tc>
          <w:tcPr>
            <w:tcW w:type="dxa" w:w="3312"/>
            <w:shd w:val="clear" w:color="auto" w:fill="F5F7FA"/>
          </w:tcPr>
          <w:p>
            <w:pPr>
              <w:spacing w:after="20"/>
            </w:pPr>
            <w:r/>
            <w:r>
              <w:rPr>
                <w:sz w:val="18"/>
              </w:rPr>
              <w:t>five candidates at p = 0.55</w:t>
            </w:r>
          </w:p>
        </w:tc>
        <w:tc>
          <w:tcPr>
            <w:tcW w:type="dxa" w:w="5616"/>
            <w:shd w:val="clear" w:color="auto" w:fill="F5F7FA"/>
          </w:tcPr>
          <w:p>
            <w:pPr>
              <w:spacing w:after="20"/>
            </w:pPr>
            <w:r/>
            <w:r>
              <w:rPr>
                <w:sz w:val="18"/>
              </w:rPr>
              <w:t>emits more of them - the 0.25|T| term grows, so the marginal cost of an extra prediction falls</w:t>
            </w:r>
          </w:p>
        </w:tc>
      </w:tr>
      <w:tr>
        <w:tc>
          <w:tcPr>
            <w:tcW w:type="dxa" w:w="3312"/>
          </w:tcPr>
          <w:p>
            <w:pPr>
              <w:spacing w:after="20"/>
            </w:pPr>
            <w:r/>
            <w:r>
              <w:rPr>
                <w:sz w:val="18"/>
              </w:rPr>
              <w:t>all candidates p &lt; 0.2</w:t>
            </w:r>
          </w:p>
        </w:tc>
        <w:tc>
          <w:tcPr>
            <w:tcW w:type="dxa" w:w="5616"/>
          </w:tcPr>
          <w:p>
            <w:pPr>
              <w:spacing w:after="20"/>
            </w:pPr>
            <w:r/>
            <w:r>
              <w:rPr>
                <w:sz w:val="18"/>
              </w:rPr>
              <w:t>emits nothing, banking the singleton credit</w:t>
            </w:r>
          </w:p>
        </w:tc>
      </w:tr>
      <w:tr>
        <w:tc>
          <w:tcPr>
            <w:tcW w:type="dxa" w:w="3312"/>
            <w:shd w:val="clear" w:color="auto" w:fill="F5F7FA"/>
          </w:tcPr>
          <w:p>
            <w:pPr>
              <w:spacing w:after="20"/>
            </w:pPr>
            <w:r/>
            <w:r>
              <w:rPr>
                <w:sz w:val="18"/>
              </w:rPr>
              <w:t>one at 0.95, one at 0.45</w:t>
            </w:r>
          </w:p>
        </w:tc>
        <w:tc>
          <w:tcPr>
            <w:tcW w:type="dxa" w:w="5616"/>
            <w:shd w:val="clear" w:color="auto" w:fill="F5F7FA"/>
          </w:tcPr>
          <w:p>
            <w:pPr>
              <w:spacing w:after="20"/>
            </w:pPr>
            <w:r/>
            <w:r>
              <w:rPr>
                <w:sz w:val="18"/>
              </w:rPr>
              <w:t>often emits only the first - adding the second risks halving precision on an entity that is otherwise nearly perfect</w:t>
            </w:r>
          </w:p>
        </w:tc>
      </w:tr>
    </w:tbl>
    <w:p>
      <w:pPr>
        <w:spacing w:after="0"/>
      </w:pPr>
    </w:p>
    <w:p>
      <w:pPr>
        <w:spacing w:before="40" w:after="240"/>
      </w:pPr>
      <w:r>
        <w:rPr>
          <w:i/>
          <w:color w:val="606060"/>
          <w:sz w:val="17"/>
        </w:rPr>
        <w:t>Hand-tuning a threshold can approximate the average of these behaviours. It cannot reproduce them.</w:t>
      </w:r>
    </w:p>
    <w:p>
      <w:r>
        <w:rPr>
          <w:b/>
          <w:i w:val="0"/>
        </w:rPr>
        <w:t xml:space="preserve">It also gives blocking recall a principled home. </w:t>
      </w:r>
      <w:r>
        <w:rPr>
          <w:b w:val="0"/>
          <w:i w:val="0"/>
        </w:rPr>
        <w:t>M, the expected number of unretrieved true matches, is measured on the validation split as a function of blocking signals (candidate count, best similarity, country). Including it makes the rule appropriately less eager to declare a singleton when blocking was likely thin for that entity.</w:t>
      </w:r>
    </w:p>
    <w:p>
      <w:pPr>
        <w:pStyle w:val="Heading3"/>
      </w:pPr>
      <w:r>
        <w:t>2.2.5  Reference implementation</w:t>
      </w:r>
    </w:p>
    <w:p>
      <w:pPr>
        <w:spacing w:before="80" w:after="160" w:line="240" w:lineRule="auto"/>
        <w:ind w:left="317"/>
        <w:shd w:val="clear" w:color="auto" w:fill="F2F4F7"/>
      </w:pPr>
      <w:r>
        <w:rPr>
          <w:rFonts w:ascii="Consolas" w:hAnsi="Consolas"/>
          <w:sz w:val="18"/>
        </w:rPr>
        <w:t>def choose_set(probs, p_missing):</w:t>
        <w:br/>
        <w:t xml:space="preserve">    p = sorted(probs, reverse=True)</w:t>
        <w:br/>
        <w:t xml:space="preserve">    n = len(p)</w:t>
        <w:br/>
        <w:t xml:space="preserve">    suffix_pb = poisson_binomial_suffixes(p)      # pmf of FN for each k</w:t>
        <w:br/>
        <w:t xml:space="preserve">    best_k, best_ev = 0, -1.0</w:t>
        <w:br/>
        <w:t xml:space="preserve">    sel_pb = [1.0]                               # pmf of TP, grows with k</w:t>
        <w:br/>
        <w:t xml:space="preserve">    for k in range(n + 1):</w:t>
        <w:br/>
        <w:t xml:space="preserve">        if k &gt; 0:</w:t>
        <w:br/>
        <w:t xml:space="preserve">            sel_pb = pb_add(sel_pb, p[k - 1])</w:t>
        <w:br/>
        <w:t xml:space="preserve">        fn_pb = pb_add_bernoulli(suffix_pb[k], p_missing)</w:t>
        <w:br/>
        <w:t xml:space="preserve">        ev = expected_f_beta(sel_pb, fn_pb, k)   # the double sum above</w:t>
        <w:br/>
        <w:t xml:space="preserve">        if ev &gt; best_ev:</w:t>
        <w:br/>
        <w:t xml:space="preserve">            best_k, best_ev = k, ev</w:t>
        <w:br/>
        <w:t xml:space="preserve">    return top_k_ids(best_k), best_ev</w:t>
      </w:r>
    </w:p>
    <w:p>
      <w:r>
        <w:rPr>
          <w:b w:val="0"/>
          <w:i w:val="0"/>
        </w:rPr>
        <w:t>Numerical care: the DP underflows for large n with small p, so candidates below an epsilon are pruned into the M term rather than carried in the DP, n is capped at the per-entity candidate cap, the DP runs in float64 with per-step renormalisation, and property tests assert both that the closed form agrees with the naive precision/recall form and that brute-force enumeration over all 2^n subsets agrees with the top-k argmax for small n.</w:t>
      </w:r>
    </w:p>
    <w:p>
      <w:pPr>
        <w:pStyle w:val="Heading2"/>
      </w:pPr>
      <w:r>
        <w:t>2.3  Stage T - tripartite message passing</w:t>
      </w:r>
    </w:p>
    <w:p>
      <w:r>
        <w:rPr>
          <w:b w:val="0"/>
          <w:i w:val="0"/>
        </w:rPr>
        <w:t>Concretely: S2-4471 links weakly to S1-88 because its address is landmark-only, but S3-9912 links strongly to S1-88 and is near-identical to S2-4471. Transitivity resolves S2-4471. One round of message passing over the blocked candidate graph:</w:t>
      </w:r>
    </w:p>
    <w:p>
      <w:pPr>
        <w:spacing w:before="80" w:after="160" w:line="240" w:lineRule="auto"/>
        <w:ind w:left="317"/>
        <w:shd w:val="clear" w:color="auto" w:fill="F2F4F7"/>
      </w:pPr>
      <w:r>
        <w:rPr>
          <w:rFonts w:ascii="Consolas" w:hAnsi="Consolas"/>
          <w:sz w:val="18"/>
        </w:rPr>
        <w:t>m(a,b) = max over c in cand3(a)  [ sim23(b,c) * p0(a,c) ]    # S3 -&gt; S2 support</w:t>
        <w:br/>
        <w:t>m(a,c) = max over b in cand2(a)  [ sim23(b,c) * p0(a,b) ]    # S2 -&gt; S3 support</w:t>
      </w:r>
    </w:p>
    <w:p>
      <w:r>
        <w:rPr>
          <w:b w:val="0"/>
          <w:i w:val="0"/>
        </w:rPr>
        <w:t>These messages - with sum, top-2 mean, and the count of corroborating partners above a similarity floor - become features of a second-stage model, not a hand-weighted blend. Stacking keeps the first-stage scores honest and lets the model learn when corroboration is informative (chains, generic names) versus misleading. Cost is near zero: sim23 is only evaluated for (b, c) pairs that already share a Source 1 candidate, which the blocking index provides for free.</w:t>
      </w:r>
    </w:p>
    <w:p>
      <w:pPr>
        <w:pStyle w:val="Heading2"/>
      </w:pPr>
      <w:r>
        <w:t>2.4  Stage R - reciprocal competition normalisation</w:t>
      </w:r>
    </w:p>
    <w:p>
      <w:r>
        <w:rPr>
          <w:b w:val="0"/>
          <w:i w:val="0"/>
        </w:rPr>
        <w:t>Source 1 is deduplicated, so each S2/S3 record has at most one S1 parent and the true sets are disjoint. A pairwise probability ignores this entirely. The fix is to build the sparse candidate score matrix and normalise down the columns - over the S1 entities competing for a given S2/S3 record b - with a null 'dustbin' column so that b is allowed to match nothing:</w:t>
      </w:r>
    </w:p>
    <w:p>
      <w:pPr>
        <w:spacing w:before="120" w:after="160"/>
        <w:jc w:val="center"/>
      </w:pPr>
      <w:r>
        <w:rPr>
          <w:rFonts w:ascii="Cambria Math" w:hAnsi="Cambria Math"/>
          <w:i/>
          <w:sz w:val="22"/>
        </w:rPr>
        <w:t>q(a,b) = exp(s(a,b)/τ) / [ exp(s_∅(b)/τ) + Σ_{a'} exp(s(a',b)/τ) ]</w:t>
      </w:r>
    </w:p>
    <w:p>
      <w:r>
        <w:rPr>
          <w:b w:val="0"/>
          <w:i w:val="0"/>
        </w:rPr>
        <w:t>The asymmetry is deliberate and correct: columns are constrained (one parent per S2/S3 record) while rows are not (an S1 entity may legitimately have many matches). This is why a plain symmetric Sinkhorn would be wrong here.</w:t>
      </w:r>
    </w:p>
    <w:p>
      <w:r>
        <w:rPr>
          <w:b w:val="0"/>
          <w:i w:val="0"/>
        </w:rPr>
        <w:t>Derived features fed to the second-stage model: q(a,b), the rank of a among b's competitors, the margin s(a,b) - s(a2,b) to the runner-up, and b's competitor count. The margin feature is the precision workhorse - two near-duplicate Source 1 entities, for instance two genuinely distinct branches of one chain, produce a near-zero margin, which is exactly the configuration that causes catastrophic false merges under F0.5, and the model learns to back off there. A final greedy disjointness repair keeps the higher q when a record ends up assigned twice.</w:t>
      </w:r>
    </w:p>
    <w:p>
      <w:pPr>
        <w:pStyle w:val="Heading2"/>
      </w:pPr>
      <w:r>
        <w:t>2.5  Stage I - in-domain noise replay (the France problem)</w:t>
      </w:r>
    </w:p>
    <w:p>
      <w:r>
        <w:rPr>
          <w:b w:val="0"/>
          <w:i w:val="0"/>
        </w:rPr>
        <w:t>The test set contains France; training does not. External data is banned. But the test records themselves are provided data, so transductive use is legitimate - that is the lever.</w:t>
      </w:r>
    </w:p>
    <w:p>
      <w:r>
        <w:rPr>
          <w:b/>
          <w:i w:val="0"/>
        </w:rPr>
        <w:t xml:space="preserve">Step 1 - mine a noise-operator inventory from training. </w:t>
      </w:r>
      <w:r>
        <w:rPr>
          <w:b w:val="0"/>
          <w:i w:val="0"/>
        </w:rPr>
        <w:t>For each ground-truth matched pair, align tokens by Hungarian assignment on token-level edit distance and record what actually happened: token substitution, suffix deletion, punctuation rewrite, transposition, character typo with per-position rates, component drop, landmark insertion, transliteration folding class. Each with an empirical firing rate, re-estimated per country because Indian addresses degrade differently from US ones.</w:t>
      </w:r>
    </w:p>
    <w:p>
      <w:r>
        <w:rPr>
          <w:b/>
          <w:i w:val="0"/>
        </w:rPr>
        <w:t xml:space="preserve">Step 2 - replay them on the unseen country. </w:t>
      </w:r>
      <w:r>
        <w:rPr>
          <w:b w:val="0"/>
          <w:i w:val="0"/>
        </w:rPr>
        <w:t>Take the French test records, apply sampled operators, and generate labelled positive pairs. Generate hard negatives by pulling near-miss records from the same blocking neighbourhood.</w:t>
      </w:r>
    </w:p>
    <w:p>
      <w:r>
        <w:rPr>
          <w:b/>
          <w:i w:val="0"/>
        </w:rPr>
        <w:t xml:space="preserve">Step 3 - train on the union </w:t>
      </w:r>
      <w:r>
        <w:rPr>
          <w:b w:val="0"/>
          <w:i w:val="0"/>
        </w:rPr>
        <w:t>of real training pairs plus in-domain synthetic pairs, with instance weights, and use the synthetic French pairs to fit the France calibration curve.</w:t>
      </w:r>
    </w:p>
    <w:p>
      <w:r>
        <w:rPr>
          <w:b w:val="0"/>
          <w:i w:val="0"/>
        </w:rPr>
        <w:t>Why this matters more than it sounds: the second-stage model may rank France pairs acceptably even without this, but its probabilities will be systematically off, and Stage E consumes probabilities. Calibration, not ranking, is what breaks zero-shot, and this is the only way to fix it without external data. There is no 'if country == France' branch anywhere - the operator vocabulary is generic and the country label is only a grouping key, which also satisfies the explicit instruction to treat country as an open set.</w:t>
      </w:r>
    </w:p>
    <w:p>
      <w:pPr>
        <w:pStyle w:val="Heading2"/>
      </w:pPr>
      <w:r>
        <w:t>2.6  Stage C - country-conditional calibration</w:t>
      </w:r>
    </w:p>
    <w:p>
      <w:r>
        <w:rPr>
          <w:b w:val="0"/>
          <w:i w:val="0"/>
        </w:rPr>
        <w:t>Isotonic regression per country group, fit on held-out validation folds, with pooled shrinkage for groups with little data and the synthetic curve for unseen countries. Reliability diagrams per country are a first-class artefact, because a calibration bug here is invisible in AUC and devastating in the final score.</w:t>
      </w:r>
    </w:p>
    <w:p>
      <w:pPr>
        <w:pStyle w:val="Heading2"/>
      </w:pPr>
      <w:r>
        <w:t>2.7  Full pipeline and feature inventory</w:t>
      </w:r>
    </w:p>
    <w:p>
      <w:pPr>
        <w:spacing w:before="80" w:after="160" w:line="240" w:lineRule="auto"/>
        <w:ind w:left="317"/>
        <w:shd w:val="clear" w:color="auto" w:fill="F2F4F7"/>
      </w:pPr>
      <w:r>
        <w:rPr>
          <w:rFonts w:ascii="Consolas" w:hAnsi="Consolas"/>
          <w:sz w:val="16"/>
        </w:rPr>
        <w:t>S1 / S2 / S3 (train + test)</w:t>
        <w:br/>
        <w:t xml:space="preserve">   |</w:t>
        <w:br/>
        <w:t xml:space="preserve">   v</w:t>
        <w:br/>
        <w:t>A. Normalisation        unicode fold, skeleton transliteration, legal-suffix canon,</w:t>
        <w:br/>
        <w:t xml:space="preserve">                        token expansion from mined variants, address componentisation,</w:t>
        <w:br/>
        <w:t xml:space="preserve">                        transductive IDF over train union test</w:t>
        <w:br/>
        <w:t xml:space="preserve">   |</w:t>
        <w:br/>
        <w:t xml:space="preserve">   v</w:t>
        <w:br/>
        <w:t>B. Multi-channel blocking (recall)   name channel (tokens, shingles, nospace, skeleton)</w:t>
        <w:br/>
        <w:t xml:space="preserve">                                     addr channel (tokens, digits, house anchor, digit sig)</w:t>
        <w:br/>
        <w:t xml:space="preserve">                                     -&gt; union, per-entity cap</w:t>
        <w:br/>
        <w:t xml:space="preserve">   |</w:t>
        <w:br/>
        <w:t xml:space="preserve">   v</w:t>
        <w:br/>
        <w:t>C. Stage-1 pairwise matcher   ~55 similarity features -&gt; GBDT -&gt; p0(a,b)</w:t>
        <w:br/>
        <w:t xml:space="preserve">   |</w:t>
        <w:br/>
        <w:t xml:space="preserve">   +-------------------------------+</w:t>
        <w:br/>
        <w:t xml:space="preserve">   v                               v</w:t>
        <w:br/>
        <w:t>T. tripartite messages         R. column-softmax + dustbin,</w:t>
        <w:br/>
        <w:t xml:space="preserve">   S2&lt;-&gt;S3 corroboration          rank, margin, competitor count</w:t>
        <w:br/>
        <w:t xml:space="preserve">   |                               |</w:t>
        <w:br/>
        <w:t xml:space="preserve">   +---------------+---------------+</w:t>
        <w:br/>
        <w:t xml:space="preserve">                   v</w:t>
        <w:br/>
        <w:t>D. Stage-2 stacked matcher   stage-1 score + graph + competition features -&gt; s(a,b)</w:t>
        <w:br/>
        <w:t xml:space="preserve">                   |</w:t>
        <w:br/>
        <w:t xml:space="preserve">                   v</w:t>
        <w:br/>
        <w:t>C. country-conditional isotonic calibration -&gt; p(a,b), honest probabilities</w:t>
        <w:br/>
        <w:t xml:space="preserve">                   |</w:t>
        <w:br/>
        <w:t xml:space="preserve">                   v</w:t>
        <w:br/>
        <w:t>E. expected-F0.5 set selection (exact)   per entity: argmax over k of E[F | top-k]</w:t>
        <w:br/>
        <w:t xml:space="preserve">                   |</w:t>
        <w:br/>
        <w:t xml:space="preserve">                   v</w:t>
        <w:br/>
        <w:t>matching_results.tsv  +  candidate_pairs.tsv</w:t>
      </w:r>
    </w:p>
    <w:p>
      <w:pPr>
        <w:spacing w:before="40" w:after="240"/>
      </w:pPr>
      <w:r>
        <w:rPr>
          <w:i/>
          <w:color w:val="606060"/>
          <w:sz w:val="17"/>
        </w:rPr>
        <w:t>Stage I (noise replay) injects extra labelled pairs into the training of C/D and into the calibration fit, so it is a side input rather than a sequential stage.</w:t>
      </w:r>
    </w:p>
    <w:p>
      <w:pPr>
        <w:pStyle w:val="Heading3"/>
      </w:pPr>
      <w:r>
        <w:t>2.7.1  Stage-1 feature groups</w:t>
      </w:r>
    </w:p>
    <w:tbl>
      <w:tblPr>
        <w:tblStyle w:val="TableGrid"/>
        <w:tblW w:type="auto" w:w="0"/>
        <w:jc w:val="center"/>
        <w:tblLayout w:type="autofit"/>
        <w:tblLook w:firstColumn="1" w:firstRow="1" w:lastColumn="0" w:lastRow="0" w:noHBand="0" w:noVBand="1" w:val="04A0"/>
      </w:tblPr>
      <w:tblGrid>
        <w:gridCol w:w="4752"/>
        <w:gridCol w:w="4752"/>
      </w:tblGrid>
      <w:tr>
        <w:tc>
          <w:tcPr>
            <w:tcW w:type="dxa" w:w="2160"/>
            <w:shd w:val="clear" w:color="auto" w:fill="1F3A5F"/>
          </w:tcPr>
          <w:p>
            <w:pPr>
              <w:spacing w:after="20"/>
            </w:pPr>
            <w:r/>
            <w:r>
              <w:rPr>
                <w:b/>
                <w:color w:val="FFFFFF"/>
                <w:sz w:val="18"/>
              </w:rPr>
              <w:t>Group</w:t>
            </w:r>
          </w:p>
        </w:tc>
        <w:tc>
          <w:tcPr>
            <w:tcW w:type="dxa" w:w="6768"/>
            <w:shd w:val="clear" w:color="auto" w:fill="1F3A5F"/>
          </w:tcPr>
          <w:p>
            <w:pPr>
              <w:spacing w:after="20"/>
            </w:pPr>
            <w:r/>
            <w:r>
              <w:rPr>
                <w:b/>
                <w:color w:val="FFFFFF"/>
                <w:sz w:val="18"/>
              </w:rPr>
              <w:t>Features</w:t>
            </w:r>
          </w:p>
        </w:tc>
      </w:tr>
      <w:tr>
        <w:tc>
          <w:tcPr>
            <w:tcW w:type="dxa" w:w="2160"/>
          </w:tcPr>
          <w:p>
            <w:pPr>
              <w:spacing w:after="20"/>
            </w:pPr>
            <w:r/>
            <w:r>
              <w:rPr>
                <w:sz w:val="18"/>
              </w:rPr>
              <w:t>Name - lexical</w:t>
            </w:r>
          </w:p>
        </w:tc>
        <w:tc>
          <w:tcPr>
            <w:tcW w:type="dxa" w:w="6768"/>
          </w:tcPr>
          <w:p>
            <w:pPr>
              <w:spacing w:after="20"/>
            </w:pPr>
            <w:r/>
            <w:r>
              <w:rPr>
                <w:sz w:val="18"/>
              </w:rPr>
              <w:t>Jaro-Winkler, normalised Levenshtein, token-set ratio, token-sort ratio, partial ratio, LCS ratio</w:t>
            </w:r>
          </w:p>
        </w:tc>
      </w:tr>
      <w:tr>
        <w:tc>
          <w:tcPr>
            <w:tcW w:type="dxa" w:w="2160"/>
            <w:shd w:val="clear" w:color="auto" w:fill="F5F7FA"/>
          </w:tcPr>
          <w:p>
            <w:pPr>
              <w:spacing w:after="20"/>
            </w:pPr>
            <w:r/>
            <w:r>
              <w:rPr>
                <w:sz w:val="18"/>
              </w:rPr>
              <w:t>Name - token</w:t>
            </w:r>
          </w:p>
        </w:tc>
        <w:tc>
          <w:tcPr>
            <w:tcW w:type="dxa" w:w="6768"/>
            <w:shd w:val="clear" w:color="auto" w:fill="F5F7FA"/>
          </w:tcPr>
          <w:p>
            <w:pPr>
              <w:spacing w:after="20"/>
            </w:pPr>
            <w:r/>
            <w:r>
              <w:rPr>
                <w:sz w:val="18"/>
              </w:rPr>
              <w:t>Jaccard, containment, IDF-weighted soft cosine with fuzzy token alignment, max/mean IDF of shared tokens, count of shared high-IDF tokens</w:t>
            </w:r>
          </w:p>
        </w:tc>
      </w:tr>
      <w:tr>
        <w:tc>
          <w:tcPr>
            <w:tcW w:type="dxa" w:w="2160"/>
          </w:tcPr>
          <w:p>
            <w:pPr>
              <w:spacing w:after="20"/>
            </w:pPr>
            <w:r/>
            <w:r>
              <w:rPr>
                <w:sz w:val="18"/>
              </w:rPr>
              <w:t>Name - structural</w:t>
            </w:r>
          </w:p>
        </w:tc>
        <w:tc>
          <w:tcPr>
            <w:tcW w:type="dxa" w:w="6768"/>
          </w:tcPr>
          <w:p>
            <w:pPr>
              <w:spacing w:after="20"/>
            </w:pPr>
            <w:r/>
            <w:r>
              <w:rPr>
                <w:sz w:val="18"/>
              </w:rPr>
              <w:t>acronym match, initials match, legal-suffix agree/conflict, token-count delta, word-order displacement, nospace and skeleton forms</w:t>
            </w:r>
          </w:p>
        </w:tc>
      </w:tr>
      <w:tr>
        <w:tc>
          <w:tcPr>
            <w:tcW w:type="dxa" w:w="2160"/>
            <w:shd w:val="clear" w:color="auto" w:fill="F5F7FA"/>
          </w:tcPr>
          <w:p>
            <w:pPr>
              <w:spacing w:after="20"/>
            </w:pPr>
            <w:r/>
            <w:r>
              <w:rPr>
                <w:sz w:val="18"/>
              </w:rPr>
              <w:t>Address - components</w:t>
            </w:r>
          </w:p>
        </w:tc>
        <w:tc>
          <w:tcPr>
            <w:tcW w:type="dxa" w:w="6768"/>
            <w:shd w:val="clear" w:color="auto" w:fill="F5F7FA"/>
          </w:tcPr>
          <w:p>
            <w:pPr>
              <w:spacing w:after="20"/>
            </w:pPr>
            <w:r/>
            <w:r>
              <w:rPr>
                <w:sz w:val="18"/>
              </w:rPr>
              <w:t>postal exact/prefix match, house-number match, street similarity, city/state similarity, component-presence mask</w:t>
            </w:r>
          </w:p>
        </w:tc>
      </w:tr>
      <w:tr>
        <w:tc>
          <w:tcPr>
            <w:tcW w:type="dxa" w:w="2160"/>
          </w:tcPr>
          <w:p>
            <w:pPr>
              <w:spacing w:after="20"/>
            </w:pPr>
            <w:r/>
            <w:r>
              <w:rPr>
                <w:sz w:val="18"/>
              </w:rPr>
              <w:t>Address - lexical</w:t>
            </w:r>
          </w:p>
        </w:tc>
        <w:tc>
          <w:tcPr>
            <w:tcW w:type="dxa" w:w="6768"/>
          </w:tcPr>
          <w:p>
            <w:pPr>
              <w:spacing w:after="20"/>
            </w:pPr>
            <w:r/>
            <w:r>
              <w:rPr>
                <w:sz w:val="18"/>
              </w:rPr>
              <w:t>the same lexical battery on the normalised address, plus a landmark-stripped variant</w:t>
            </w:r>
          </w:p>
        </w:tc>
      </w:tr>
      <w:tr>
        <w:tc>
          <w:tcPr>
            <w:tcW w:type="dxa" w:w="2160"/>
            <w:shd w:val="clear" w:color="auto" w:fill="F5F7FA"/>
          </w:tcPr>
          <w:p>
            <w:pPr>
              <w:spacing w:after="20"/>
            </w:pPr>
            <w:r/>
            <w:r>
              <w:rPr>
                <w:sz w:val="18"/>
              </w:rPr>
              <w:t>Rarity</w:t>
            </w:r>
          </w:p>
        </w:tc>
        <w:tc>
          <w:tcPr>
            <w:tcW w:type="dxa" w:w="6768"/>
            <w:shd w:val="clear" w:color="auto" w:fill="F5F7FA"/>
          </w:tcPr>
          <w:p>
            <w:pPr>
              <w:spacing w:after="20"/>
            </w:pPr>
            <w:r/>
            <w:r>
              <w:rPr>
                <w:sz w:val="18"/>
              </w:rPr>
              <w:t>IDF-weighted overlap on address tokens, rarest shared token's IDF, shared-digit-sequence indicators</w:t>
            </w:r>
          </w:p>
        </w:tc>
      </w:tr>
      <w:tr>
        <w:tc>
          <w:tcPr>
            <w:tcW w:type="dxa" w:w="2160"/>
          </w:tcPr>
          <w:p>
            <w:pPr>
              <w:spacing w:after="20"/>
            </w:pPr>
            <w:r/>
            <w:r>
              <w:rPr>
                <w:sz w:val="18"/>
              </w:rPr>
              <w:t>Cross-field</w:t>
            </w:r>
          </w:p>
        </w:tc>
        <w:tc>
          <w:tcPr>
            <w:tcW w:type="dxa" w:w="6768"/>
          </w:tcPr>
          <w:p>
            <w:pPr>
              <w:spacing w:after="20"/>
            </w:pPr>
            <w:r/>
            <w:r>
              <w:rPr>
                <w:sz w:val="18"/>
              </w:rPr>
              <w:t>name-to-address cross-contamination similarity (Source 3 sometimes packs the name into the address)</w:t>
            </w:r>
          </w:p>
        </w:tc>
      </w:tr>
      <w:tr>
        <w:tc>
          <w:tcPr>
            <w:tcW w:type="dxa" w:w="2160"/>
            <w:shd w:val="clear" w:color="auto" w:fill="F5F7FA"/>
          </w:tcPr>
          <w:p>
            <w:pPr>
              <w:spacing w:after="20"/>
            </w:pPr>
            <w:r/>
            <w:r>
              <w:rPr>
                <w:sz w:val="18"/>
              </w:rPr>
              <w:t>Context</w:t>
            </w:r>
          </w:p>
        </w:tc>
        <w:tc>
          <w:tcPr>
            <w:tcW w:type="dxa" w:w="6768"/>
            <w:shd w:val="clear" w:color="auto" w:fill="F5F7FA"/>
          </w:tcPr>
          <w:p>
            <w:pPr>
              <w:spacing w:after="20"/>
            </w:pPr>
            <w:r/>
            <w:r>
              <w:rPr>
                <w:sz w:val="18"/>
              </w:rPr>
              <w:t>country agree, both-country-known, candidate rank in blocking, which probes fired, blocking score</w:t>
            </w:r>
          </w:p>
        </w:tc>
      </w:tr>
    </w:tbl>
    <w:p>
      <w:pPr>
        <w:spacing w:after="0"/>
      </w:pPr>
    </w:p>
    <w:p>
      <w:pPr>
        <w:spacing w:before="40" w:after="240"/>
      </w:pPr>
      <w:r>
        <w:rPr>
          <w:i/>
          <w:color w:val="606060"/>
          <w:sz w:val="17"/>
        </w:rPr>
        <w:t>The rarity group does most of the work. A shared rare surname is overwhelming evidence; a shared 'Services' is nearly none. Transductive IDF over train union test measures this without any external corpus.</w:t>
      </w:r>
    </w:p>
    <w:p>
      <w:pPr>
        <w:pStyle w:val="Heading2"/>
      </w:pPr>
      <w:r>
        <w:t>2.8  Novelty claims and risk register</w:t>
      </w:r>
    </w:p>
    <w:tbl>
      <w:tblPr>
        <w:tblStyle w:val="TableGrid"/>
        <w:tblW w:type="auto" w:w="0"/>
        <w:jc w:val="center"/>
        <w:tblLayout w:type="autofit"/>
        <w:tblLook w:firstColumn="1" w:firstRow="1" w:lastColumn="0" w:lastRow="0" w:noHBand="0" w:noVBand="1" w:val="04A0"/>
      </w:tblPr>
      <w:tblGrid>
        <w:gridCol w:w="4752"/>
        <w:gridCol w:w="4752"/>
      </w:tblGrid>
      <w:tr>
        <w:tc>
          <w:tcPr>
            <w:tcW w:type="dxa" w:w="576"/>
            <w:shd w:val="clear" w:color="auto" w:fill="1F3A5F"/>
          </w:tcPr>
          <w:p>
            <w:pPr>
              <w:spacing w:after="20"/>
            </w:pPr>
            <w:r/>
            <w:r>
              <w:rPr>
                <w:b/>
                <w:color w:val="FFFFFF"/>
                <w:sz w:val="18"/>
              </w:rPr>
              <w:t>#</w:t>
            </w:r>
          </w:p>
        </w:tc>
        <w:tc>
          <w:tcPr>
            <w:tcW w:type="dxa" w:w="8352"/>
            <w:shd w:val="clear" w:color="auto" w:fill="1F3A5F"/>
          </w:tcPr>
          <w:p>
            <w:pPr>
              <w:spacing w:after="20"/>
            </w:pPr>
            <w:r/>
            <w:r>
              <w:rPr>
                <w:b/>
                <w:color w:val="FFFFFF"/>
                <w:sz w:val="18"/>
              </w:rPr>
              <w:t>Claim</w:t>
            </w:r>
          </w:p>
        </w:tc>
      </w:tr>
      <w:tr>
        <w:tc>
          <w:tcPr>
            <w:tcW w:type="dxa" w:w="576"/>
          </w:tcPr>
          <w:p>
            <w:pPr>
              <w:spacing w:after="20"/>
            </w:pPr>
            <w:r/>
            <w:r>
              <w:rPr>
                <w:sz w:val="18"/>
              </w:rPr>
              <w:t>1</w:t>
            </w:r>
          </w:p>
        </w:tc>
        <w:tc>
          <w:tcPr>
            <w:tcW w:type="dxa" w:w="8352"/>
          </w:tcPr>
          <w:p>
            <w:pPr>
              <w:spacing w:after="20"/>
            </w:pPr>
            <w:r/>
            <w:r>
              <w:rPr>
                <w:sz w:val="18"/>
              </w:rPr>
              <w:t>Exact expected-F0.5 set selection. The metric's closed form makes the Bayes-optimal per-entity set computable via a Poisson-binomial DP over n+1 candidate sizes. Replaces threshold tuning with a decision-theoretic optimum and derives the singleton decision as a special case.</w:t>
            </w:r>
          </w:p>
        </w:tc>
      </w:tr>
      <w:tr>
        <w:tc>
          <w:tcPr>
            <w:tcW w:type="dxa" w:w="576"/>
            <w:shd w:val="clear" w:color="auto" w:fill="F5F7FA"/>
          </w:tcPr>
          <w:p>
            <w:pPr>
              <w:spacing w:after="20"/>
            </w:pPr>
            <w:r/>
            <w:r>
              <w:rPr>
                <w:sz w:val="18"/>
              </w:rPr>
              <w:t>2</w:t>
            </w:r>
          </w:p>
        </w:tc>
        <w:tc>
          <w:tcPr>
            <w:tcW w:type="dxa" w:w="8352"/>
            <w:shd w:val="clear" w:color="auto" w:fill="F5F7FA"/>
          </w:tcPr>
          <w:p>
            <w:pPr>
              <w:spacing w:after="20"/>
            </w:pPr>
            <w:r/>
            <w:r>
              <w:rPr>
                <w:sz w:val="18"/>
              </w:rPr>
              <w:t>Disjointness as a column-softmax with a dustbin. Encodes 'Source 1 is deduplicated' as a one-sided normalisation with a null option - the structurally correct projection, and the source of the margin feature that suppresses the false merges F0.5 punishes hardest.</w:t>
            </w:r>
          </w:p>
        </w:tc>
      </w:tr>
      <w:tr>
        <w:tc>
          <w:tcPr>
            <w:tcW w:type="dxa" w:w="576"/>
          </w:tcPr>
          <w:p>
            <w:pPr>
              <w:spacing w:after="20"/>
            </w:pPr>
            <w:r/>
            <w:r>
              <w:rPr>
                <w:sz w:val="18"/>
              </w:rPr>
              <w:t>3</w:t>
            </w:r>
          </w:p>
        </w:tc>
        <w:tc>
          <w:tcPr>
            <w:tcW w:type="dxa" w:w="8352"/>
          </w:tcPr>
          <w:p>
            <w:pPr>
              <w:spacing w:after="20"/>
            </w:pPr>
            <w:r/>
            <w:r>
              <w:rPr>
                <w:sz w:val="18"/>
              </w:rPr>
              <w:t>S2-S3 corroboration. Uses the half of the tripartite graph that pairwise pipelines discard, via message passing on the already-blocked graph at near-zero cost.</w:t>
            </w:r>
          </w:p>
        </w:tc>
      </w:tr>
      <w:tr>
        <w:tc>
          <w:tcPr>
            <w:tcW w:type="dxa" w:w="576"/>
            <w:shd w:val="clear" w:color="auto" w:fill="F5F7FA"/>
          </w:tcPr>
          <w:p>
            <w:pPr>
              <w:spacing w:after="20"/>
            </w:pPr>
            <w:r/>
            <w:r>
              <w:rPr>
                <w:sz w:val="18"/>
              </w:rPr>
              <w:t>4</w:t>
            </w:r>
          </w:p>
        </w:tc>
        <w:tc>
          <w:tcPr>
            <w:tcW w:type="dxa" w:w="8352"/>
            <w:shd w:val="clear" w:color="auto" w:fill="F5F7FA"/>
          </w:tcPr>
          <w:p>
            <w:pPr>
              <w:spacing w:after="20"/>
            </w:pPr>
            <w:r/>
            <w:r>
              <w:rPr>
                <w:sz w:val="18"/>
              </w:rPr>
              <w:t>Mined noise operators replayed on the unseen country. Turns the banned-external-data constraint into a design: learn the corruption process from training pairs and replay it transductively on French test records to obtain in-domain labelled pairs and, crucially, an in-domain calibration curve.</w:t>
            </w:r>
          </w:p>
        </w:tc>
      </w:tr>
      <w:tr>
        <w:tc>
          <w:tcPr>
            <w:tcW w:type="dxa" w:w="576"/>
          </w:tcPr>
          <w:p>
            <w:pPr>
              <w:spacing w:after="20"/>
            </w:pPr>
            <w:r/>
            <w:r>
              <w:rPr>
                <w:sz w:val="18"/>
              </w:rPr>
              <w:t>5</w:t>
            </w:r>
          </w:p>
        </w:tc>
        <w:tc>
          <w:tcPr>
            <w:tcW w:type="dxa" w:w="8352"/>
          </w:tcPr>
          <w:p>
            <w:pPr>
              <w:spacing w:after="20"/>
            </w:pPr>
            <w:r/>
            <w:r>
              <w:rPr>
                <w:sz w:val="18"/>
              </w:rPr>
              <w:t>Blocking recall enters the decision rule. M, the expected number of unretrieved true matches, is a term in the objective rather than an offline diagnostic, so blocking quality and the emit/abstain decision are coupled.</w:t>
            </w:r>
          </w:p>
        </w:tc>
      </w:tr>
    </w:tbl>
    <w:p>
      <w:pPr>
        <w:spacing w:after="0"/>
      </w:pPr>
    </w:p>
    <w:tbl>
      <w:tblPr>
        <w:tblStyle w:val="TableGrid"/>
        <w:tblW w:type="auto" w:w="0"/>
        <w:jc w:val="center"/>
        <w:tblLayout w:type="autofit"/>
        <w:tblLook w:firstColumn="1" w:firstRow="1" w:lastColumn="0" w:lastRow="0" w:noHBand="0" w:noVBand="1" w:val="04A0"/>
      </w:tblPr>
      <w:tblGrid>
        <w:gridCol w:w="4752"/>
        <w:gridCol w:w="4752"/>
      </w:tblGrid>
      <w:tr>
        <w:tc>
          <w:tcPr>
            <w:tcW w:type="dxa" w:w="3312"/>
            <w:shd w:val="clear" w:color="auto" w:fill="1F3A5F"/>
          </w:tcPr>
          <w:p>
            <w:pPr>
              <w:spacing w:after="20"/>
            </w:pPr>
            <w:r/>
            <w:r>
              <w:rPr>
                <w:b/>
                <w:color w:val="FFFFFF"/>
                <w:sz w:val="18"/>
              </w:rPr>
              <w:t>Risk</w:t>
            </w:r>
          </w:p>
        </w:tc>
        <w:tc>
          <w:tcPr>
            <w:tcW w:type="dxa" w:w="5616"/>
            <w:shd w:val="clear" w:color="auto" w:fill="1F3A5F"/>
          </w:tcPr>
          <w:p>
            <w:pPr>
              <w:spacing w:after="20"/>
            </w:pPr>
            <w:r/>
            <w:r>
              <w:rPr>
                <w:b/>
                <w:color w:val="FFFFFF"/>
                <w:sz w:val="18"/>
              </w:rPr>
              <w:t>Mitigation</w:t>
            </w:r>
          </w:p>
        </w:tc>
      </w:tr>
      <w:tr>
        <w:tc>
          <w:tcPr>
            <w:tcW w:type="dxa" w:w="3312"/>
          </w:tcPr>
          <w:p>
            <w:pPr>
              <w:spacing w:after="20"/>
            </w:pPr>
            <w:r/>
            <w:r>
              <w:rPr>
                <w:sz w:val="18"/>
              </w:rPr>
              <w:t>Independence assumption in the Poisson-binomial is wrong (candidates are correlated)</w:t>
            </w:r>
          </w:p>
        </w:tc>
        <w:tc>
          <w:tcPr>
            <w:tcW w:type="dxa" w:w="5616"/>
          </w:tcPr>
          <w:p>
            <w:pPr>
              <w:spacing w:after="20"/>
            </w:pPr>
            <w:r/>
            <w:r>
              <w:rPr>
                <w:sz w:val="18"/>
              </w:rPr>
              <w:t>The rule only needs the expectation to be ranked correctly across k. Validate E[F] against realised F on held-out data; if badly off, add a shrinkage exponent on p fit on validation.</w:t>
            </w:r>
          </w:p>
        </w:tc>
      </w:tr>
      <w:tr>
        <w:tc>
          <w:tcPr>
            <w:tcW w:type="dxa" w:w="3312"/>
            <w:shd w:val="clear" w:color="auto" w:fill="F5F7FA"/>
          </w:tcPr>
          <w:p>
            <w:pPr>
              <w:spacing w:after="20"/>
            </w:pPr>
            <w:r/>
            <w:r>
              <w:rPr>
                <w:sz w:val="18"/>
              </w:rPr>
              <w:t>Calibration drift on France</w:t>
            </w:r>
          </w:p>
        </w:tc>
        <w:tc>
          <w:tcPr>
            <w:tcW w:type="dxa" w:w="5616"/>
            <w:shd w:val="clear" w:color="auto" w:fill="F5F7FA"/>
          </w:tcPr>
          <w:p>
            <w:pPr>
              <w:spacing w:after="20"/>
            </w:pPr>
            <w:r/>
            <w:r>
              <w:rPr>
                <w:sz w:val="18"/>
              </w:rPr>
              <w:t>Stage I synthetic curve plus per-country reliability diagrams; fall back to pooled isotonic if the synthetic fit looks degenerate.</w:t>
            </w:r>
          </w:p>
        </w:tc>
      </w:tr>
      <w:tr>
        <w:tc>
          <w:tcPr>
            <w:tcW w:type="dxa" w:w="3312"/>
          </w:tcPr>
          <w:p>
            <w:pPr>
              <w:spacing w:after="20"/>
            </w:pPr>
            <w:r/>
            <w:r>
              <w:rPr>
                <w:sz w:val="18"/>
              </w:rPr>
              <w:t>Message passing amplifies errors</w:t>
            </w:r>
          </w:p>
        </w:tc>
        <w:tc>
          <w:tcPr>
            <w:tcW w:type="dxa" w:w="5616"/>
          </w:tcPr>
          <w:p>
            <w:pPr>
              <w:spacing w:after="20"/>
            </w:pPr>
            <w:r/>
            <w:r>
              <w:rPr>
                <w:sz w:val="18"/>
              </w:rPr>
              <w:t>One round only; messages enter as features of a stacked model rather than as score updates; ablation toggle.</w:t>
            </w:r>
          </w:p>
        </w:tc>
      </w:tr>
      <w:tr>
        <w:tc>
          <w:tcPr>
            <w:tcW w:type="dxa" w:w="3312"/>
            <w:shd w:val="clear" w:color="auto" w:fill="F5F7FA"/>
          </w:tcPr>
          <w:p>
            <w:pPr>
              <w:spacing w:after="20"/>
            </w:pPr>
            <w:r/>
            <w:r>
              <w:rPr>
                <w:sz w:val="18"/>
              </w:rPr>
              <w:t>Blocking misses cap recall</w:t>
            </w:r>
          </w:p>
        </w:tc>
        <w:tc>
          <w:tcPr>
            <w:tcW w:type="dxa" w:w="5616"/>
            <w:shd w:val="clear" w:color="auto" w:fill="F5F7FA"/>
          </w:tcPr>
          <w:p>
            <w:pPr>
              <w:spacing w:after="20"/>
            </w:pPr>
            <w:r/>
            <w:r>
              <w:rPr>
                <w:sz w:val="18"/>
              </w:rPr>
              <w:t>Multi-channel union with independent key families; recall ceiling and reduction ratio reported per country before any modelling.</w:t>
            </w:r>
          </w:p>
        </w:tc>
      </w:tr>
      <w:tr>
        <w:tc>
          <w:tcPr>
            <w:tcW w:type="dxa" w:w="3312"/>
          </w:tcPr>
          <w:p>
            <w:pPr>
              <w:spacing w:after="20"/>
            </w:pPr>
            <w:r/>
            <w:r>
              <w:rPr>
                <w:sz w:val="18"/>
              </w:rPr>
              <w:t>Overfitting to the public leaderboard</w:t>
            </w:r>
          </w:p>
        </w:tc>
        <w:tc>
          <w:tcPr>
            <w:tcW w:type="dxa" w:w="5616"/>
          </w:tcPr>
          <w:p>
            <w:pPr>
              <w:spacing w:after="20"/>
            </w:pPr>
            <w:r/>
            <w:r>
              <w:rPr>
                <w:sz w:val="18"/>
              </w:rPr>
              <w:t>All tuning on internal CV. The decision layer has essentially no free parameters to overfit, which is a side benefit of replacing the threshold.</w:t>
            </w:r>
          </w:p>
        </w:tc>
      </w:tr>
    </w:tbl>
    <w:p>
      <w:pPr>
        <w:spacing w:after="0"/>
      </w:pPr>
    </w:p>
    <w:p>
      <w:r>
        <w:br w:type="page"/>
      </w:r>
    </w:p>
    <w:p>
      <w:pPr>
        <w:pStyle w:val="Heading1"/>
      </w:pPr>
      <w:r>
        <w:t>Part 3 - Evaluation results</w:t>
      </w:r>
    </w:p>
    <w:p>
      <w:r>
        <w:rPr>
          <w:b/>
          <w:i w:val="0"/>
        </w:rPr>
        <w:t xml:space="preserve">Evidence base. </w:t>
      </w:r>
      <w:r>
        <w:rPr>
          <w:b w:val="0"/>
          <w:i w:val="0"/>
        </w:rPr>
        <w:t>Run "smoke" created 2026-09-25T14:39:44Z. Sampled 4,000 Source 1 entities per country over India, US, giving 8,000 entities and 250,539 candidate pairs. Validation fraction 0.25, held out by entity, giving 2,053 validation entities. Seed 20260925. Blocking and matching run against the full country indexes, not a subsample.</w:t>
      </w:r>
    </w:p>
    <w:p>
      <w:pPr>
        <w:pStyle w:val="Heading2"/>
      </w:pPr>
      <w:r>
        <w:t>3.1  Data-level findings</w:t>
      </w:r>
    </w:p>
    <w:p>
      <w:pPr>
        <w:pStyle w:val="Heading3"/>
      </w:pPr>
      <w:r>
        <w:t>3.1.1  Match sets are exactly pairwise disjoint</w:t>
      </w:r>
    </w:p>
    <w:p>
      <w:pPr>
        <w:spacing w:before="80" w:after="160" w:line="240" w:lineRule="auto"/>
        <w:ind w:left="317"/>
        <w:shd w:val="clear" w:color="auto" w:fill="F2F4F7"/>
      </w:pPr>
      <w:r>
        <w:rPr>
          <w:rFonts w:ascii="Consolas" w:hAnsi="Consolas"/>
          <w:sz w:val="18"/>
        </w:rPr>
        <w:t>distinct matched ids     : 7,638,365</w:t>
        <w:br/>
        <w:t>ids used by &gt;1 S1 entity : 0  (0.0000%)</w:t>
        <w:br/>
        <w:t>max reuse of a single id : 1</w:t>
      </w:r>
    </w:p>
    <w:p>
      <w:r>
        <w:rPr>
          <w:b w:val="0"/>
          <w:i w:val="0"/>
        </w:rPr>
        <w:t>Zero exceptions across 7.64 M labelled links. The disjointness assumption behind Stage R is not an approximation, it is a hard property of the data, and it is safe to enforce as a constraint rather than merely encourage as a feature. Furthermore 73.4% of Source 2 and 74.6% of Source 3 records participate in a match, so the true structure is close to a near-perfect assignment - far more exploitable than generic entity resolution.</w:t>
      </w:r>
    </w:p>
    <w:p>
      <w:pPr>
        <w:pStyle w:val="Heading3"/>
      </w:pPr>
      <w:r>
        <w:t>3.1.2  Singletons are rare - 5.58%, not a third</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1296"/>
            <w:shd w:val="clear" w:color="auto" w:fill="1F3A5F"/>
          </w:tcPr>
          <w:p>
            <w:pPr>
              <w:spacing w:after="20"/>
            </w:pPr>
            <w:r/>
            <w:r>
              <w:rPr>
                <w:b/>
                <w:color w:val="FFFFFF"/>
                <w:sz w:val="18"/>
              </w:rPr>
              <w:t>|T|</w:t>
            </w:r>
          </w:p>
        </w:tc>
        <w:tc>
          <w:tcPr>
            <w:tcW w:type="dxa" w:w="2160"/>
            <w:shd w:val="clear" w:color="auto" w:fill="1F3A5F"/>
          </w:tcPr>
          <w:p>
            <w:pPr>
              <w:spacing w:after="20"/>
            </w:pPr>
            <w:r/>
            <w:r>
              <w:rPr>
                <w:b/>
                <w:color w:val="FFFFFF"/>
                <w:sz w:val="18"/>
              </w:rPr>
              <w:t>count</w:t>
            </w:r>
          </w:p>
        </w:tc>
        <w:tc>
          <w:tcPr>
            <w:tcW w:type="dxa" w:w="1728"/>
            <w:shd w:val="clear" w:color="auto" w:fill="1F3A5F"/>
          </w:tcPr>
          <w:p>
            <w:pPr>
              <w:spacing w:after="20"/>
            </w:pPr>
            <w:r/>
            <w:r>
              <w:rPr>
                <w:b/>
                <w:color w:val="FFFFFF"/>
                <w:sz w:val="18"/>
              </w:rPr>
              <w:t>share</w:t>
            </w:r>
          </w:p>
        </w:tc>
        <w:tc>
          <w:tcPr>
            <w:tcW w:type="dxa" w:w="2160"/>
            <w:shd w:val="clear" w:color="auto" w:fill="1F3A5F"/>
          </w:tcPr>
          <w:p>
            <w:pPr>
              <w:spacing w:after="20"/>
            </w:pPr>
            <w:r/>
            <w:r>
              <w:rPr>
                <w:b/>
                <w:color w:val="FFFFFF"/>
                <w:sz w:val="18"/>
              </w:rPr>
              <w:t>cumulative</w:t>
            </w:r>
          </w:p>
        </w:tc>
      </w:tr>
      <w:tr>
        <w:tc>
          <w:tcPr>
            <w:tcW w:type="dxa" w:w="1296"/>
          </w:tcPr>
          <w:p>
            <w:pPr>
              <w:spacing w:after="20"/>
            </w:pPr>
            <w:r/>
            <w:r>
              <w:rPr>
                <w:sz w:val="18"/>
              </w:rPr>
              <w:t>0</w:t>
            </w:r>
          </w:p>
        </w:tc>
        <w:tc>
          <w:tcPr>
            <w:tcW w:type="dxa" w:w="2160"/>
          </w:tcPr>
          <w:p>
            <w:pPr>
              <w:spacing w:after="20"/>
            </w:pPr>
            <w:r/>
            <w:r>
              <w:rPr>
                <w:sz w:val="18"/>
              </w:rPr>
              <w:t>123,247</w:t>
            </w:r>
          </w:p>
        </w:tc>
        <w:tc>
          <w:tcPr>
            <w:tcW w:type="dxa" w:w="1728"/>
          </w:tcPr>
          <w:p>
            <w:pPr>
              <w:spacing w:after="20"/>
            </w:pPr>
            <w:r/>
            <w:r>
              <w:rPr>
                <w:sz w:val="18"/>
              </w:rPr>
              <w:t>5.58%</w:t>
            </w:r>
          </w:p>
        </w:tc>
        <w:tc>
          <w:tcPr>
            <w:tcW w:type="dxa" w:w="2160"/>
          </w:tcPr>
          <w:p>
            <w:pPr>
              <w:spacing w:after="20"/>
            </w:pPr>
            <w:r/>
            <w:r>
              <w:rPr>
                <w:sz w:val="18"/>
              </w:rPr>
              <w:t>5.58%</w:t>
            </w:r>
          </w:p>
        </w:tc>
      </w:tr>
      <w:tr>
        <w:tc>
          <w:tcPr>
            <w:tcW w:type="dxa" w:w="1296"/>
            <w:shd w:val="clear" w:color="auto" w:fill="F5F7FA"/>
          </w:tcPr>
          <w:p>
            <w:pPr>
              <w:spacing w:after="20"/>
            </w:pPr>
            <w:r/>
            <w:r>
              <w:rPr>
                <w:sz w:val="18"/>
              </w:rPr>
              <w:t>1</w:t>
            </w:r>
          </w:p>
        </w:tc>
        <w:tc>
          <w:tcPr>
            <w:tcW w:type="dxa" w:w="2160"/>
            <w:shd w:val="clear" w:color="auto" w:fill="F5F7FA"/>
          </w:tcPr>
          <w:p>
            <w:pPr>
              <w:spacing w:after="20"/>
            </w:pPr>
            <w:r/>
            <w:r>
              <w:rPr>
                <w:sz w:val="18"/>
              </w:rPr>
              <w:t>119,157</w:t>
            </w:r>
          </w:p>
        </w:tc>
        <w:tc>
          <w:tcPr>
            <w:tcW w:type="dxa" w:w="1728"/>
            <w:shd w:val="clear" w:color="auto" w:fill="F5F7FA"/>
          </w:tcPr>
          <w:p>
            <w:pPr>
              <w:spacing w:after="20"/>
            </w:pPr>
            <w:r/>
            <w:r>
              <w:rPr>
                <w:sz w:val="18"/>
              </w:rPr>
              <w:t>5.40%</w:t>
            </w:r>
          </w:p>
        </w:tc>
        <w:tc>
          <w:tcPr>
            <w:tcW w:type="dxa" w:w="2160"/>
            <w:shd w:val="clear" w:color="auto" w:fill="F5F7FA"/>
          </w:tcPr>
          <w:p>
            <w:pPr>
              <w:spacing w:after="20"/>
            </w:pPr>
            <w:r/>
            <w:r>
              <w:rPr>
                <w:sz w:val="18"/>
              </w:rPr>
              <w:t>10.98%</w:t>
            </w:r>
          </w:p>
        </w:tc>
      </w:tr>
      <w:tr>
        <w:tc>
          <w:tcPr>
            <w:tcW w:type="dxa" w:w="1296"/>
          </w:tcPr>
          <w:p>
            <w:pPr>
              <w:spacing w:after="20"/>
            </w:pPr>
            <w:r/>
            <w:r>
              <w:rPr>
                <w:sz w:val="18"/>
              </w:rPr>
              <w:t>2</w:t>
            </w:r>
          </w:p>
        </w:tc>
        <w:tc>
          <w:tcPr>
            <w:tcW w:type="dxa" w:w="2160"/>
          </w:tcPr>
          <w:p>
            <w:pPr>
              <w:spacing w:after="20"/>
            </w:pPr>
            <w:r/>
            <w:r>
              <w:rPr>
                <w:sz w:val="18"/>
              </w:rPr>
              <w:t>375,212</w:t>
            </w:r>
          </w:p>
        </w:tc>
        <w:tc>
          <w:tcPr>
            <w:tcW w:type="dxa" w:w="1728"/>
          </w:tcPr>
          <w:p>
            <w:pPr>
              <w:spacing w:after="20"/>
            </w:pPr>
            <w:r/>
            <w:r>
              <w:rPr>
                <w:sz w:val="18"/>
              </w:rPr>
              <w:t>17.00%</w:t>
            </w:r>
          </w:p>
        </w:tc>
        <w:tc>
          <w:tcPr>
            <w:tcW w:type="dxa" w:w="2160"/>
          </w:tcPr>
          <w:p>
            <w:pPr>
              <w:spacing w:after="20"/>
            </w:pPr>
            <w:r/>
            <w:r>
              <w:rPr>
                <w:sz w:val="18"/>
              </w:rPr>
              <w:t>27.99%</w:t>
            </w:r>
          </w:p>
        </w:tc>
      </w:tr>
      <w:tr>
        <w:tc>
          <w:tcPr>
            <w:tcW w:type="dxa" w:w="1296"/>
            <w:shd w:val="clear" w:color="auto" w:fill="F5F7FA"/>
          </w:tcPr>
          <w:p>
            <w:pPr>
              <w:spacing w:after="20"/>
            </w:pPr>
            <w:r/>
            <w:r>
              <w:rPr>
                <w:sz w:val="18"/>
              </w:rPr>
              <w:t>3</w:t>
            </w:r>
          </w:p>
        </w:tc>
        <w:tc>
          <w:tcPr>
            <w:tcW w:type="dxa" w:w="2160"/>
            <w:shd w:val="clear" w:color="auto" w:fill="F5F7FA"/>
          </w:tcPr>
          <w:p>
            <w:pPr>
              <w:spacing w:after="20"/>
            </w:pPr>
            <w:r/>
            <w:r>
              <w:rPr>
                <w:sz w:val="18"/>
              </w:rPr>
              <w:t>530,841</w:t>
            </w:r>
          </w:p>
        </w:tc>
        <w:tc>
          <w:tcPr>
            <w:tcW w:type="dxa" w:w="1728"/>
            <w:shd w:val="clear" w:color="auto" w:fill="F5F7FA"/>
          </w:tcPr>
          <w:p>
            <w:pPr>
              <w:spacing w:after="20"/>
            </w:pPr>
            <w:r/>
            <w:r>
              <w:rPr>
                <w:sz w:val="18"/>
              </w:rPr>
              <w:t>24.05%</w:t>
            </w:r>
          </w:p>
        </w:tc>
        <w:tc>
          <w:tcPr>
            <w:tcW w:type="dxa" w:w="2160"/>
            <w:shd w:val="clear" w:color="auto" w:fill="F5F7FA"/>
          </w:tcPr>
          <w:p>
            <w:pPr>
              <w:spacing w:after="20"/>
            </w:pPr>
            <w:r/>
            <w:r>
              <w:rPr>
                <w:sz w:val="18"/>
              </w:rPr>
              <w:t>52.04%</w:t>
            </w:r>
          </w:p>
        </w:tc>
      </w:tr>
      <w:tr>
        <w:tc>
          <w:tcPr>
            <w:tcW w:type="dxa" w:w="1296"/>
          </w:tcPr>
          <w:p>
            <w:pPr>
              <w:spacing w:after="20"/>
            </w:pPr>
            <w:r/>
            <w:r>
              <w:rPr>
                <w:sz w:val="18"/>
              </w:rPr>
              <w:t>4</w:t>
            </w:r>
          </w:p>
        </w:tc>
        <w:tc>
          <w:tcPr>
            <w:tcW w:type="dxa" w:w="2160"/>
          </w:tcPr>
          <w:p>
            <w:pPr>
              <w:spacing w:after="20"/>
            </w:pPr>
            <w:r/>
            <w:r>
              <w:rPr>
                <w:sz w:val="18"/>
              </w:rPr>
              <w:t>484,115</w:t>
            </w:r>
          </w:p>
        </w:tc>
        <w:tc>
          <w:tcPr>
            <w:tcW w:type="dxa" w:w="1728"/>
          </w:tcPr>
          <w:p>
            <w:pPr>
              <w:spacing w:after="20"/>
            </w:pPr>
            <w:r/>
            <w:r>
              <w:rPr>
                <w:sz w:val="18"/>
              </w:rPr>
              <w:t>21.94%</w:t>
            </w:r>
          </w:p>
        </w:tc>
        <w:tc>
          <w:tcPr>
            <w:tcW w:type="dxa" w:w="2160"/>
          </w:tcPr>
          <w:p>
            <w:pPr>
              <w:spacing w:after="20"/>
            </w:pPr>
            <w:r/>
            <w:r>
              <w:rPr>
                <w:sz w:val="18"/>
              </w:rPr>
              <w:t>73.98%</w:t>
            </w:r>
          </w:p>
        </w:tc>
      </w:tr>
      <w:tr>
        <w:tc>
          <w:tcPr>
            <w:tcW w:type="dxa" w:w="1296"/>
            <w:shd w:val="clear" w:color="auto" w:fill="F5F7FA"/>
          </w:tcPr>
          <w:p>
            <w:pPr>
              <w:spacing w:after="20"/>
            </w:pPr>
            <w:r/>
            <w:r>
              <w:rPr>
                <w:sz w:val="18"/>
              </w:rPr>
              <w:t>5</w:t>
            </w:r>
          </w:p>
        </w:tc>
        <w:tc>
          <w:tcPr>
            <w:tcW w:type="dxa" w:w="2160"/>
            <w:shd w:val="clear" w:color="auto" w:fill="F5F7FA"/>
          </w:tcPr>
          <w:p>
            <w:pPr>
              <w:spacing w:after="20"/>
            </w:pPr>
            <w:r/>
            <w:r>
              <w:rPr>
                <w:sz w:val="18"/>
              </w:rPr>
              <w:t>321,957</w:t>
            </w:r>
          </w:p>
        </w:tc>
        <w:tc>
          <w:tcPr>
            <w:tcW w:type="dxa" w:w="1728"/>
            <w:shd w:val="clear" w:color="auto" w:fill="F5F7FA"/>
          </w:tcPr>
          <w:p>
            <w:pPr>
              <w:spacing w:after="20"/>
            </w:pPr>
            <w:r/>
            <w:r>
              <w:rPr>
                <w:sz w:val="18"/>
              </w:rPr>
              <w:t>14.59%</w:t>
            </w:r>
          </w:p>
        </w:tc>
        <w:tc>
          <w:tcPr>
            <w:tcW w:type="dxa" w:w="2160"/>
            <w:shd w:val="clear" w:color="auto" w:fill="F5F7FA"/>
          </w:tcPr>
          <w:p>
            <w:pPr>
              <w:spacing w:after="20"/>
            </w:pPr>
            <w:r/>
            <w:r>
              <w:rPr>
                <w:sz w:val="18"/>
              </w:rPr>
              <w:t>88.57%</w:t>
            </w:r>
          </w:p>
        </w:tc>
      </w:tr>
      <w:tr>
        <w:tc>
          <w:tcPr>
            <w:tcW w:type="dxa" w:w="1296"/>
          </w:tcPr>
          <w:p>
            <w:pPr>
              <w:spacing w:after="20"/>
            </w:pPr>
            <w:r/>
            <w:r>
              <w:rPr>
                <w:sz w:val="18"/>
              </w:rPr>
              <w:t>6</w:t>
            </w:r>
          </w:p>
        </w:tc>
        <w:tc>
          <w:tcPr>
            <w:tcW w:type="dxa" w:w="2160"/>
          </w:tcPr>
          <w:p>
            <w:pPr>
              <w:spacing w:after="20"/>
            </w:pPr>
            <w:r/>
            <w:r>
              <w:rPr>
                <w:sz w:val="18"/>
              </w:rPr>
              <w:t>164,868</w:t>
            </w:r>
          </w:p>
        </w:tc>
        <w:tc>
          <w:tcPr>
            <w:tcW w:type="dxa" w:w="1728"/>
          </w:tcPr>
          <w:p>
            <w:pPr>
              <w:spacing w:after="20"/>
            </w:pPr>
            <w:r/>
            <w:r>
              <w:rPr>
                <w:sz w:val="18"/>
              </w:rPr>
              <w:t>7.47%</w:t>
            </w:r>
          </w:p>
        </w:tc>
        <w:tc>
          <w:tcPr>
            <w:tcW w:type="dxa" w:w="2160"/>
          </w:tcPr>
          <w:p>
            <w:pPr>
              <w:spacing w:after="20"/>
            </w:pPr>
            <w:r/>
            <w:r>
              <w:rPr>
                <w:sz w:val="18"/>
              </w:rPr>
              <w:t>96.04%</w:t>
            </w:r>
          </w:p>
        </w:tc>
      </w:tr>
      <w:tr>
        <w:tc>
          <w:tcPr>
            <w:tcW w:type="dxa" w:w="1296"/>
            <w:shd w:val="clear" w:color="auto" w:fill="F5F7FA"/>
          </w:tcPr>
          <w:p>
            <w:pPr>
              <w:spacing w:after="20"/>
            </w:pPr>
            <w:r/>
            <w:r>
              <w:rPr>
                <w:sz w:val="18"/>
              </w:rPr>
              <w:t>7</w:t>
            </w:r>
          </w:p>
        </w:tc>
        <w:tc>
          <w:tcPr>
            <w:tcW w:type="dxa" w:w="2160"/>
            <w:shd w:val="clear" w:color="auto" w:fill="F5F7FA"/>
          </w:tcPr>
          <w:p>
            <w:pPr>
              <w:spacing w:after="20"/>
            </w:pPr>
            <w:r/>
            <w:r>
              <w:rPr>
                <w:sz w:val="18"/>
              </w:rPr>
              <w:t>63,968</w:t>
            </w:r>
          </w:p>
        </w:tc>
        <w:tc>
          <w:tcPr>
            <w:tcW w:type="dxa" w:w="1728"/>
            <w:shd w:val="clear" w:color="auto" w:fill="F5F7FA"/>
          </w:tcPr>
          <w:p>
            <w:pPr>
              <w:spacing w:after="20"/>
            </w:pPr>
            <w:r/>
            <w:r>
              <w:rPr>
                <w:sz w:val="18"/>
              </w:rPr>
              <w:t>2.90%</w:t>
            </w:r>
          </w:p>
        </w:tc>
        <w:tc>
          <w:tcPr>
            <w:tcW w:type="dxa" w:w="2160"/>
            <w:shd w:val="clear" w:color="auto" w:fill="F5F7FA"/>
          </w:tcPr>
          <w:p>
            <w:pPr>
              <w:spacing w:after="20"/>
            </w:pPr>
            <w:r/>
            <w:r>
              <w:rPr>
                <w:sz w:val="18"/>
              </w:rPr>
              <w:t>98.94%</w:t>
            </w:r>
          </w:p>
        </w:tc>
      </w:tr>
      <w:tr>
        <w:tc>
          <w:tcPr>
            <w:tcW w:type="dxa" w:w="1296"/>
          </w:tcPr>
          <w:p>
            <w:pPr>
              <w:spacing w:after="20"/>
            </w:pPr>
            <w:r/>
            <w:r>
              <w:rPr>
                <w:sz w:val="18"/>
              </w:rPr>
              <w:t>8+</w:t>
            </w:r>
          </w:p>
        </w:tc>
        <w:tc>
          <w:tcPr>
            <w:tcW w:type="dxa" w:w="2160"/>
          </w:tcPr>
          <w:p>
            <w:pPr>
              <w:spacing w:after="20"/>
            </w:pPr>
            <w:r/>
            <w:r>
              <w:rPr>
                <w:sz w:val="18"/>
              </w:rPr>
              <w:t>23,456</w:t>
            </w:r>
          </w:p>
        </w:tc>
        <w:tc>
          <w:tcPr>
            <w:tcW w:type="dxa" w:w="1728"/>
          </w:tcPr>
          <w:p>
            <w:pPr>
              <w:spacing w:after="20"/>
            </w:pPr>
            <w:r/>
            <w:r>
              <w:rPr>
                <w:sz w:val="18"/>
              </w:rPr>
              <w:t>1.06%</w:t>
            </w:r>
          </w:p>
        </w:tc>
        <w:tc>
          <w:tcPr>
            <w:tcW w:type="dxa" w:w="2160"/>
          </w:tcPr>
          <w:p>
            <w:pPr>
              <w:spacing w:after="20"/>
            </w:pPr>
            <w:r/>
            <w:r>
              <w:rPr>
                <w:sz w:val="18"/>
              </w:rPr>
              <w:t>100%</w:t>
            </w:r>
          </w:p>
        </w:tc>
      </w:tr>
    </w:tbl>
    <w:p>
      <w:pPr>
        <w:spacing w:after="0"/>
      </w:pPr>
    </w:p>
    <w:p>
      <w:pPr>
        <w:spacing w:before="40" w:after="240"/>
      </w:pPr>
      <w:r>
        <w:rPr>
          <w:i/>
          <w:color w:val="606060"/>
          <w:sz w:val="17"/>
        </w:rPr>
        <w:t>Full training ground truth. Mean 3.461 matches per entity, maximum 11.</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1296"/>
            <w:shd w:val="clear" w:color="auto" w:fill="1F3A5F"/>
          </w:tcPr>
          <w:p>
            <w:pPr>
              <w:spacing w:after="20"/>
            </w:pPr>
            <w:r/>
            <w:r>
              <w:rPr>
                <w:b/>
                <w:color w:val="FFFFFF"/>
                <w:sz w:val="18"/>
              </w:rPr>
              <w:t>|T|</w:t>
            </w:r>
          </w:p>
        </w:tc>
        <w:tc>
          <w:tcPr>
            <w:tcW w:type="dxa" w:w="2736"/>
            <w:shd w:val="clear" w:color="auto" w:fill="1F3A5F"/>
          </w:tcPr>
          <w:p>
            <w:pPr>
              <w:spacing w:after="20"/>
            </w:pPr>
            <w:r/>
            <w:r>
              <w:rPr>
                <w:b/>
                <w:color w:val="FFFFFF"/>
                <w:sz w:val="18"/>
              </w:rPr>
              <w:t>validation entities</w:t>
            </w:r>
          </w:p>
        </w:tc>
        <w:tc>
          <w:tcPr>
            <w:tcW w:type="dxa" w:w="1728"/>
            <w:shd w:val="clear" w:color="auto" w:fill="1F3A5F"/>
          </w:tcPr>
          <w:p>
            <w:pPr>
              <w:spacing w:after="20"/>
            </w:pPr>
            <w:r/>
            <w:r>
              <w:rPr>
                <w:b/>
                <w:color w:val="FFFFFF"/>
                <w:sz w:val="18"/>
              </w:rPr>
              <w:t>share</w:t>
            </w:r>
          </w:p>
        </w:tc>
      </w:tr>
      <w:tr>
        <w:tc>
          <w:tcPr>
            <w:tcW w:type="dxa" w:w="1296"/>
          </w:tcPr>
          <w:p>
            <w:pPr>
              <w:spacing w:after="20"/>
            </w:pPr>
            <w:r/>
            <w:r>
              <w:rPr>
                <w:sz w:val="18"/>
              </w:rPr>
              <w:t>0</w:t>
            </w:r>
          </w:p>
        </w:tc>
        <w:tc>
          <w:tcPr>
            <w:tcW w:type="dxa" w:w="2736"/>
          </w:tcPr>
          <w:p>
            <w:pPr>
              <w:spacing w:after="20"/>
            </w:pPr>
            <w:r/>
            <w:r>
              <w:rPr>
                <w:sz w:val="18"/>
              </w:rPr>
              <w:t>433</w:t>
            </w:r>
          </w:p>
        </w:tc>
        <w:tc>
          <w:tcPr>
            <w:tcW w:type="dxa" w:w="1728"/>
          </w:tcPr>
          <w:p>
            <w:pPr>
              <w:spacing w:after="20"/>
            </w:pPr>
            <w:r/>
            <w:r>
              <w:rPr>
                <w:sz w:val="18"/>
              </w:rPr>
              <w:t>5.4%</w:t>
            </w:r>
          </w:p>
        </w:tc>
      </w:tr>
      <w:tr>
        <w:tc>
          <w:tcPr>
            <w:tcW w:type="dxa" w:w="1296"/>
            <w:shd w:val="clear" w:color="auto" w:fill="F5F7FA"/>
          </w:tcPr>
          <w:p>
            <w:pPr>
              <w:spacing w:after="20"/>
            </w:pPr>
            <w:r/>
            <w:r>
              <w:rPr>
                <w:sz w:val="18"/>
              </w:rPr>
              <w:t>1</w:t>
            </w:r>
          </w:p>
        </w:tc>
        <w:tc>
          <w:tcPr>
            <w:tcW w:type="dxa" w:w="2736"/>
            <w:shd w:val="clear" w:color="auto" w:fill="F5F7FA"/>
          </w:tcPr>
          <w:p>
            <w:pPr>
              <w:spacing w:after="20"/>
            </w:pPr>
            <w:r/>
            <w:r>
              <w:rPr>
                <w:sz w:val="18"/>
              </w:rPr>
              <w:t>400</w:t>
            </w:r>
          </w:p>
        </w:tc>
        <w:tc>
          <w:tcPr>
            <w:tcW w:type="dxa" w:w="1728"/>
            <w:shd w:val="clear" w:color="auto" w:fill="F5F7FA"/>
          </w:tcPr>
          <w:p>
            <w:pPr>
              <w:spacing w:after="20"/>
            </w:pPr>
            <w:r/>
            <w:r>
              <w:rPr>
                <w:sz w:val="18"/>
              </w:rPr>
              <w:t>5.0%</w:t>
            </w:r>
          </w:p>
        </w:tc>
      </w:tr>
      <w:tr>
        <w:tc>
          <w:tcPr>
            <w:tcW w:type="dxa" w:w="1296"/>
          </w:tcPr>
          <w:p>
            <w:pPr>
              <w:spacing w:after="20"/>
            </w:pPr>
            <w:r/>
            <w:r>
              <w:rPr>
                <w:sz w:val="18"/>
              </w:rPr>
              <w:t>2</w:t>
            </w:r>
          </w:p>
        </w:tc>
        <w:tc>
          <w:tcPr>
            <w:tcW w:type="dxa" w:w="2736"/>
          </w:tcPr>
          <w:p>
            <w:pPr>
              <w:spacing w:after="20"/>
            </w:pPr>
            <w:r/>
            <w:r>
              <w:rPr>
                <w:sz w:val="18"/>
              </w:rPr>
              <w:t>1,365</w:t>
            </w:r>
          </w:p>
        </w:tc>
        <w:tc>
          <w:tcPr>
            <w:tcW w:type="dxa" w:w="1728"/>
          </w:tcPr>
          <w:p>
            <w:pPr>
              <w:spacing w:after="20"/>
            </w:pPr>
            <w:r/>
            <w:r>
              <w:rPr>
                <w:sz w:val="18"/>
              </w:rPr>
              <w:t>17.1%</w:t>
            </w:r>
          </w:p>
        </w:tc>
      </w:tr>
      <w:tr>
        <w:tc>
          <w:tcPr>
            <w:tcW w:type="dxa" w:w="1296"/>
            <w:shd w:val="clear" w:color="auto" w:fill="F5F7FA"/>
          </w:tcPr>
          <w:p>
            <w:pPr>
              <w:spacing w:after="20"/>
            </w:pPr>
            <w:r/>
            <w:r>
              <w:rPr>
                <w:sz w:val="18"/>
              </w:rPr>
              <w:t>3</w:t>
            </w:r>
          </w:p>
        </w:tc>
        <w:tc>
          <w:tcPr>
            <w:tcW w:type="dxa" w:w="2736"/>
            <w:shd w:val="clear" w:color="auto" w:fill="F5F7FA"/>
          </w:tcPr>
          <w:p>
            <w:pPr>
              <w:spacing w:after="20"/>
            </w:pPr>
            <w:r/>
            <w:r>
              <w:rPr>
                <w:sz w:val="18"/>
              </w:rPr>
              <w:t>1,918</w:t>
            </w:r>
          </w:p>
        </w:tc>
        <w:tc>
          <w:tcPr>
            <w:tcW w:type="dxa" w:w="1728"/>
            <w:shd w:val="clear" w:color="auto" w:fill="F5F7FA"/>
          </w:tcPr>
          <w:p>
            <w:pPr>
              <w:spacing w:after="20"/>
            </w:pPr>
            <w:r/>
            <w:r>
              <w:rPr>
                <w:sz w:val="18"/>
              </w:rPr>
              <w:t>24.0%</w:t>
            </w:r>
          </w:p>
        </w:tc>
      </w:tr>
      <w:tr>
        <w:tc>
          <w:tcPr>
            <w:tcW w:type="dxa" w:w="1296"/>
          </w:tcPr>
          <w:p>
            <w:pPr>
              <w:spacing w:after="20"/>
            </w:pPr>
            <w:r/>
            <w:r>
              <w:rPr>
                <w:sz w:val="18"/>
              </w:rPr>
              <w:t>4</w:t>
            </w:r>
          </w:p>
        </w:tc>
        <w:tc>
          <w:tcPr>
            <w:tcW w:type="dxa" w:w="2736"/>
          </w:tcPr>
          <w:p>
            <w:pPr>
              <w:spacing w:after="20"/>
            </w:pPr>
            <w:r/>
            <w:r>
              <w:rPr>
                <w:sz w:val="18"/>
              </w:rPr>
              <w:t>1,768</w:t>
            </w:r>
          </w:p>
        </w:tc>
        <w:tc>
          <w:tcPr>
            <w:tcW w:type="dxa" w:w="1728"/>
          </w:tcPr>
          <w:p>
            <w:pPr>
              <w:spacing w:after="20"/>
            </w:pPr>
            <w:r/>
            <w:r>
              <w:rPr>
                <w:sz w:val="18"/>
              </w:rPr>
              <w:t>22.1%</w:t>
            </w:r>
          </w:p>
        </w:tc>
      </w:tr>
      <w:tr>
        <w:tc>
          <w:tcPr>
            <w:tcW w:type="dxa" w:w="1296"/>
            <w:shd w:val="clear" w:color="auto" w:fill="F5F7FA"/>
          </w:tcPr>
          <w:p>
            <w:pPr>
              <w:spacing w:after="20"/>
            </w:pPr>
            <w:r/>
            <w:r>
              <w:rPr>
                <w:sz w:val="18"/>
              </w:rPr>
              <w:t>5</w:t>
            </w:r>
          </w:p>
        </w:tc>
        <w:tc>
          <w:tcPr>
            <w:tcW w:type="dxa" w:w="2736"/>
            <w:shd w:val="clear" w:color="auto" w:fill="F5F7FA"/>
          </w:tcPr>
          <w:p>
            <w:pPr>
              <w:spacing w:after="20"/>
            </w:pPr>
            <w:r/>
            <w:r>
              <w:rPr>
                <w:sz w:val="18"/>
              </w:rPr>
              <w:t>1,145</w:t>
            </w:r>
          </w:p>
        </w:tc>
        <w:tc>
          <w:tcPr>
            <w:tcW w:type="dxa" w:w="1728"/>
            <w:shd w:val="clear" w:color="auto" w:fill="F5F7FA"/>
          </w:tcPr>
          <w:p>
            <w:pPr>
              <w:spacing w:after="20"/>
            </w:pPr>
            <w:r/>
            <w:r>
              <w:rPr>
                <w:sz w:val="18"/>
              </w:rPr>
              <w:t>14.3%</w:t>
            </w:r>
          </w:p>
        </w:tc>
      </w:tr>
      <w:tr>
        <w:tc>
          <w:tcPr>
            <w:tcW w:type="dxa" w:w="1296"/>
          </w:tcPr>
          <w:p>
            <w:pPr>
              <w:spacing w:after="20"/>
            </w:pPr>
            <w:r/>
            <w:r>
              <w:rPr>
                <w:sz w:val="18"/>
              </w:rPr>
              <w:t>6</w:t>
            </w:r>
          </w:p>
        </w:tc>
        <w:tc>
          <w:tcPr>
            <w:tcW w:type="dxa" w:w="2736"/>
          </w:tcPr>
          <w:p>
            <w:pPr>
              <w:spacing w:after="20"/>
            </w:pPr>
            <w:r/>
            <w:r>
              <w:rPr>
                <w:sz w:val="18"/>
              </w:rPr>
              <w:t>649</w:t>
            </w:r>
          </w:p>
        </w:tc>
        <w:tc>
          <w:tcPr>
            <w:tcW w:type="dxa" w:w="1728"/>
          </w:tcPr>
          <w:p>
            <w:pPr>
              <w:spacing w:after="20"/>
            </w:pPr>
            <w:r/>
            <w:r>
              <w:rPr>
                <w:sz w:val="18"/>
              </w:rPr>
              <w:t>8.1%</w:t>
            </w:r>
          </w:p>
        </w:tc>
      </w:tr>
      <w:tr>
        <w:tc>
          <w:tcPr>
            <w:tcW w:type="dxa" w:w="1296"/>
            <w:shd w:val="clear" w:color="auto" w:fill="F5F7FA"/>
          </w:tcPr>
          <w:p>
            <w:pPr>
              <w:spacing w:after="20"/>
            </w:pPr>
            <w:r/>
            <w:r>
              <w:rPr>
                <w:sz w:val="18"/>
              </w:rPr>
              <w:t>7</w:t>
            </w:r>
          </w:p>
        </w:tc>
        <w:tc>
          <w:tcPr>
            <w:tcW w:type="dxa" w:w="2736"/>
            <w:shd w:val="clear" w:color="auto" w:fill="F5F7FA"/>
          </w:tcPr>
          <w:p>
            <w:pPr>
              <w:spacing w:after="20"/>
            </w:pPr>
            <w:r/>
            <w:r>
              <w:rPr>
                <w:sz w:val="18"/>
              </w:rPr>
              <w:t>228</w:t>
            </w:r>
          </w:p>
        </w:tc>
        <w:tc>
          <w:tcPr>
            <w:tcW w:type="dxa" w:w="1728"/>
            <w:shd w:val="clear" w:color="auto" w:fill="F5F7FA"/>
          </w:tcPr>
          <w:p>
            <w:pPr>
              <w:spacing w:after="20"/>
            </w:pPr>
            <w:r/>
            <w:r>
              <w:rPr>
                <w:sz w:val="18"/>
              </w:rPr>
              <w:t>2.9%</w:t>
            </w:r>
          </w:p>
        </w:tc>
      </w:tr>
      <w:tr>
        <w:tc>
          <w:tcPr>
            <w:tcW w:type="dxa" w:w="1296"/>
          </w:tcPr>
          <w:p>
            <w:pPr>
              <w:spacing w:after="20"/>
            </w:pPr>
            <w:r/>
            <w:r>
              <w:rPr>
                <w:sz w:val="18"/>
              </w:rPr>
              <w:t>8</w:t>
            </w:r>
          </w:p>
        </w:tc>
        <w:tc>
          <w:tcPr>
            <w:tcW w:type="dxa" w:w="2736"/>
          </w:tcPr>
          <w:p>
            <w:pPr>
              <w:spacing w:after="20"/>
            </w:pPr>
            <w:r/>
            <w:r>
              <w:rPr>
                <w:sz w:val="18"/>
              </w:rPr>
              <w:t>74</w:t>
            </w:r>
          </w:p>
        </w:tc>
        <w:tc>
          <w:tcPr>
            <w:tcW w:type="dxa" w:w="1728"/>
          </w:tcPr>
          <w:p>
            <w:pPr>
              <w:spacing w:after="20"/>
            </w:pPr>
            <w:r/>
            <w:r>
              <w:rPr>
                <w:sz w:val="18"/>
              </w:rPr>
              <w:t>0.9%</w:t>
            </w:r>
          </w:p>
        </w:tc>
      </w:tr>
      <w:tr>
        <w:tc>
          <w:tcPr>
            <w:tcW w:type="dxa" w:w="1296"/>
            <w:shd w:val="clear" w:color="auto" w:fill="F5F7FA"/>
          </w:tcPr>
          <w:p>
            <w:pPr>
              <w:spacing w:after="20"/>
            </w:pPr>
            <w:r/>
            <w:r>
              <w:rPr>
                <w:sz w:val="18"/>
              </w:rPr>
              <w:t>9</w:t>
            </w:r>
          </w:p>
        </w:tc>
        <w:tc>
          <w:tcPr>
            <w:tcW w:type="dxa" w:w="2736"/>
            <w:shd w:val="clear" w:color="auto" w:fill="F5F7FA"/>
          </w:tcPr>
          <w:p>
            <w:pPr>
              <w:spacing w:after="20"/>
            </w:pPr>
            <w:r/>
            <w:r>
              <w:rPr>
                <w:sz w:val="18"/>
              </w:rPr>
              <w:t>20</w:t>
            </w:r>
          </w:p>
        </w:tc>
        <w:tc>
          <w:tcPr>
            <w:tcW w:type="dxa" w:w="1728"/>
            <w:shd w:val="clear" w:color="auto" w:fill="F5F7FA"/>
          </w:tcPr>
          <w:p>
            <w:pPr>
              <w:spacing w:after="20"/>
            </w:pPr>
            <w:r/>
            <w:r>
              <w:rPr>
                <w:sz w:val="18"/>
              </w:rPr>
              <w:t>0.2%</w:t>
            </w:r>
          </w:p>
        </w:tc>
      </w:tr>
    </w:tbl>
    <w:p>
      <w:pPr>
        <w:spacing w:after="0"/>
      </w:pPr>
    </w:p>
    <w:p>
      <w:pPr>
        <w:spacing w:before="40" w:after="240"/>
      </w:pPr>
      <w:r>
        <w:rPr>
          <w:i/>
          <w:color w:val="606060"/>
          <w:sz w:val="17"/>
        </w:rPr>
        <w:t>The same distribution on this run's 8,000 sampled entities - it reproduces the full-data shape, so the sample is not distorting the decision analysis.</w:t>
      </w:r>
    </w:p>
    <w:p>
      <w:r>
        <w:rPr>
          <w:b/>
          <w:i w:val="0"/>
        </w:rPr>
        <w:t xml:space="preserve">Design consequence. </w:t>
      </w:r>
      <w:r>
        <w:rPr>
          <w:b w:val="0"/>
          <w:i w:val="0"/>
        </w:rPr>
        <w:t>The earlier plan over-weighted singleton abstention: only 5.6% of the score is singleton credit. The decision layer's real job is choosing the correct cardinality of a multi-match set, which is exactly what the expected-F0.5 argmax over k does, and it is a harder and more valuable job than abstaining. This is confirmed downstream - see 3.5, where top-1 caps at 0.65 and a fixed top-3 at 0.72.</w:t>
      </w:r>
    </w:p>
    <w:p>
      <w:pPr>
        <w:pStyle w:val="Heading3"/>
      </w:pPr>
      <w:r>
        <w:t>3.1.3  Transliteration: unidecode is necessary but not sufficient</w:t>
      </w:r>
    </w:p>
    <w:p>
      <w:pPr>
        <w:spacing w:before="80" w:after="160" w:line="240" w:lineRule="auto"/>
        <w:ind w:left="317"/>
        <w:shd w:val="clear" w:color="auto" w:fill="F2F4F7"/>
      </w:pPr>
      <w:r>
        <w:rPr>
          <w:rFonts w:ascii="Consolas" w:hAnsi="Consolas"/>
          <w:sz w:val="16"/>
        </w:rPr>
        <w:t>unidecode(Devanagari 'Ram Marketing Private Limited') = 'raama maarkettiNg praaivett limitteda'</w:t>
        <w:br/>
        <w:t>target                                               = 'ram marketing private limited'</w:t>
        <w:br/>
        <w:br/>
        <w:t>unidecode(Devanagari 'Modern Finance')               = 'moNddrn phaaineNs'</w:t>
        <w:br/>
        <w:t>target                                               = 'modern finance'</w:t>
        <w:br/>
        <w:br/>
        <w:t>unidecode(Devanagari 'Aditya Properties LLP')        = 'aadity proNprttiij elelpii'</w:t>
        <w:br/>
        <w:t>target                                               = 'aditya properties llp'</w:t>
      </w:r>
    </w:p>
    <w:p>
      <w:r>
        <w:rPr>
          <w:b w:val="0"/>
          <w:i w:val="0"/>
        </w:rPr>
        <w:t>Naive folding therefore fails on the whole Devanagari class. A skeleton form on top of folding fixes it: collapse repeated vowels, drop the N nasal artefact and trailing schwa, collapse doubled consonants, map ph-&gt;f, v&lt;-&gt;w, z&lt;-&gt;j. Applied to both sides, the two strings become comparable. French folding is simpler and plain unidecode handles it. The skeleton function is country-agnostic and applied to every record.</w:t>
      </w:r>
    </w:p>
    <w:p>
      <w:pPr>
        <w:pStyle w:val="Heading3"/>
      </w:pPr>
      <w:r>
        <w:t>3.1.4  Variant mining yield</w:t>
      </w:r>
    </w:p>
    <w:p>
      <w:r>
        <w:rPr>
          <w:b w:val="0"/>
          <w:i w:val="0"/>
        </w:rPr>
        <w:t>Rather than hand-coding abbreviation tables, variant pairs are mined from ground-truth matched groups - data-driven, within fair-play rules, and it covers the long tail (Mysore&lt;-&gt;Mysuru, 14th&lt;-&gt;FOURTEENTH, Devanagari state names).</w:t>
      </w:r>
    </w:p>
    <w:tbl>
      <w:tblPr>
        <w:tblStyle w:val="TableGrid"/>
        <w:tblW w:type="auto" w:w="0"/>
        <w:jc w:val="center"/>
        <w:tblLayout w:type="autofit"/>
        <w:tblLook w:firstColumn="1" w:firstRow="1" w:lastColumn="0" w:lastRow="0" w:noHBand="0" w:noVBand="1" w:val="04A0"/>
      </w:tblPr>
      <w:tblGrid>
        <w:gridCol w:w="4752"/>
        <w:gridCol w:w="4752"/>
      </w:tblGrid>
      <w:tr>
        <w:tc>
          <w:tcPr>
            <w:tcW w:type="dxa" w:w="4032"/>
            <w:shd w:val="clear" w:color="auto" w:fill="1F3A5F"/>
          </w:tcPr>
          <w:p>
            <w:pPr>
              <w:spacing w:after="20"/>
            </w:pPr>
            <w:r/>
            <w:r>
              <w:rPr>
                <w:b/>
                <w:color w:val="FFFFFF"/>
                <w:sz w:val="18"/>
              </w:rPr>
              <w:t>Quantity</w:t>
            </w:r>
          </w:p>
        </w:tc>
        <w:tc>
          <w:tcPr>
            <w:tcW w:type="dxa" w:w="2592"/>
            <w:shd w:val="clear" w:color="auto" w:fill="1F3A5F"/>
          </w:tcPr>
          <w:p>
            <w:pPr>
              <w:spacing w:after="20"/>
            </w:pPr>
            <w:r/>
            <w:r>
              <w:rPr>
                <w:b/>
                <w:color w:val="FFFFFF"/>
                <w:sz w:val="18"/>
              </w:rPr>
              <w:t>Value</w:t>
            </w:r>
          </w:p>
        </w:tc>
      </w:tr>
      <w:tr>
        <w:tc>
          <w:tcPr>
            <w:tcW w:type="dxa" w:w="4032"/>
          </w:tcPr>
          <w:p>
            <w:pPr>
              <w:spacing w:after="20"/>
            </w:pPr>
            <w:r/>
            <w:r>
              <w:rPr>
                <w:sz w:val="18"/>
              </w:rPr>
              <w:t>Ground-truth groups sampled</w:t>
            </w:r>
          </w:p>
        </w:tc>
        <w:tc>
          <w:tcPr>
            <w:tcW w:type="dxa" w:w="2592"/>
          </w:tcPr>
          <w:p>
            <w:pPr>
              <w:spacing w:after="20"/>
            </w:pPr>
            <w:r/>
            <w:r>
              <w:rPr>
                <w:sz w:val="18"/>
              </w:rPr>
              <w:t>250,000</w:t>
            </w:r>
          </w:p>
        </w:tc>
      </w:tr>
      <w:tr>
        <w:tc>
          <w:tcPr>
            <w:tcW w:type="dxa" w:w="4032"/>
            <w:shd w:val="clear" w:color="auto" w:fill="F5F7FA"/>
          </w:tcPr>
          <w:p>
            <w:pPr>
              <w:spacing w:after="20"/>
            </w:pPr>
            <w:r/>
            <w:r>
              <w:rPr>
                <w:sz w:val="18"/>
              </w:rPr>
              <w:t>Groups used</w:t>
            </w:r>
          </w:p>
        </w:tc>
        <w:tc>
          <w:tcPr>
            <w:tcW w:type="dxa" w:w="2592"/>
            <w:shd w:val="clear" w:color="auto" w:fill="F5F7FA"/>
          </w:tcPr>
          <w:p>
            <w:pPr>
              <w:spacing w:after="20"/>
            </w:pPr>
            <w:r/>
            <w:r>
              <w:rPr>
                <w:sz w:val="18"/>
              </w:rPr>
              <w:t>250,000</w:t>
            </w:r>
          </w:p>
        </w:tc>
      </w:tr>
      <w:tr>
        <w:tc>
          <w:tcPr>
            <w:tcW w:type="dxa" w:w="4032"/>
          </w:tcPr>
          <w:p>
            <w:pPr>
              <w:spacing w:after="20"/>
            </w:pPr>
            <w:r/>
            <w:r>
              <w:rPr>
                <w:sz w:val="18"/>
              </w:rPr>
              <w:t>Minimum co-occurrence count</w:t>
            </w:r>
          </w:p>
        </w:tc>
        <w:tc>
          <w:tcPr>
            <w:tcW w:type="dxa" w:w="2592"/>
          </w:tcPr>
          <w:p>
            <w:pPr>
              <w:spacing w:after="20"/>
            </w:pPr>
            <w:r/>
            <w:r>
              <w:rPr>
                <w:sz w:val="18"/>
              </w:rPr>
              <w:t>15</w:t>
            </w:r>
          </w:p>
        </w:tc>
      </w:tr>
      <w:tr>
        <w:tc>
          <w:tcPr>
            <w:tcW w:type="dxa" w:w="4032"/>
            <w:shd w:val="clear" w:color="auto" w:fill="F5F7FA"/>
          </w:tcPr>
          <w:p>
            <w:pPr>
              <w:spacing w:after="20"/>
            </w:pPr>
            <w:r/>
            <w:r>
              <w:rPr>
                <w:sz w:val="18"/>
              </w:rPr>
              <w:t>Minimum association score</w:t>
            </w:r>
          </w:p>
        </w:tc>
        <w:tc>
          <w:tcPr>
            <w:tcW w:type="dxa" w:w="2592"/>
            <w:shd w:val="clear" w:color="auto" w:fill="F5F7FA"/>
          </w:tcPr>
          <w:p>
            <w:pPr>
              <w:spacing w:after="20"/>
            </w:pPr>
            <w:r/>
            <w:r>
              <w:rPr>
                <w:sz w:val="18"/>
              </w:rPr>
              <w:t>0.12</w:t>
            </w:r>
          </w:p>
        </w:tc>
      </w:tr>
      <w:tr>
        <w:tc>
          <w:tcPr>
            <w:tcW w:type="dxa" w:w="4032"/>
          </w:tcPr>
          <w:p>
            <w:pPr>
              <w:spacing w:after="20"/>
            </w:pPr>
            <w:r/>
            <w:r>
              <w:rPr>
                <w:sz w:val="18"/>
              </w:rPr>
              <w:t>Name variants accepted</w:t>
            </w:r>
          </w:p>
        </w:tc>
        <w:tc>
          <w:tcPr>
            <w:tcW w:type="dxa" w:w="2592"/>
          </w:tcPr>
          <w:p>
            <w:pPr>
              <w:spacing w:after="20"/>
            </w:pPr>
            <w:r/>
            <w:r>
              <w:rPr>
                <w:sz w:val="18"/>
              </w:rPr>
              <w:t>602</w:t>
            </w:r>
          </w:p>
        </w:tc>
      </w:tr>
      <w:tr>
        <w:tc>
          <w:tcPr>
            <w:tcW w:type="dxa" w:w="4032"/>
            <w:shd w:val="clear" w:color="auto" w:fill="F5F7FA"/>
          </w:tcPr>
          <w:p>
            <w:pPr>
              <w:spacing w:after="20"/>
            </w:pPr>
            <w:r/>
            <w:r>
              <w:rPr>
                <w:sz w:val="18"/>
              </w:rPr>
              <w:t>Address variants accepted</w:t>
            </w:r>
          </w:p>
        </w:tc>
        <w:tc>
          <w:tcPr>
            <w:tcW w:type="dxa" w:w="2592"/>
            <w:shd w:val="clear" w:color="auto" w:fill="F5F7FA"/>
          </w:tcPr>
          <w:p>
            <w:pPr>
              <w:spacing w:after="20"/>
            </w:pPr>
            <w:r/>
            <w:r>
              <w:rPr>
                <w:sz w:val="18"/>
              </w:rPr>
              <w:t>361</w:t>
            </w:r>
          </w:p>
        </w:tc>
      </w:tr>
    </w:tbl>
    <w:p>
      <w:pPr>
        <w:spacing w:after="0"/>
      </w:pPr>
    </w:p>
    <w:p>
      <w:pPr>
        <w:spacing w:before="40" w:after="240"/>
      </w:pPr>
      <w:r>
        <w:rPr>
          <w:i/>
          <w:color w:val="606060"/>
          <w:sz w:val="17"/>
        </w:rPr>
        <w:t>From artifacts/variants.json and artifacts/prepare.log. The accepted maps include state abbreviations in both directions, transliterated state skeletons (mhaaraassttr -&gt; maharashtra, krnaattk -&gt; karnataka, telngaann -&gt; telangana) and city-level aliases.</w:t>
      </w:r>
    </w:p>
    <w:p>
      <w:pPr>
        <w:pStyle w:val="Heading2"/>
      </w:pPr>
      <w:r>
        <w:t>3.2  Blocking: configuration sweep and recall ceiling</w:t>
      </w:r>
    </w:p>
    <w:p>
      <w:r>
        <w:rPr>
          <w:b w:val="0"/>
          <w:i w:val="0"/>
        </w:rPr>
        <w:t>Measured by scripts/04_blocking_eval.py against the full US index of 6,186,873 Source 2/3 records, on 5,000 sampled training entities for the sweep and 8,000 for the blended reference configuration.</w:t>
      </w:r>
    </w:p>
    <w:tbl>
      <w:tblPr>
        <w:tblStyle w:val="TableGrid"/>
        <w:tblW w:type="auto" w:w="0"/>
        <w:jc w:val="center"/>
        <w:tblLayout w:type="autofit"/>
        <w:tblLook w:firstColumn="1" w:firstRow="1" w:lastColumn="0" w:lastRow="0" w:noHBand="0" w:noVBand="1" w:val="04A0"/>
      </w:tblPr>
      <w:tblGrid>
        <w:gridCol w:w="1584"/>
        <w:gridCol w:w="1584"/>
        <w:gridCol w:w="1584"/>
        <w:gridCol w:w="1584"/>
        <w:gridCol w:w="1584"/>
        <w:gridCol w:w="1584"/>
      </w:tblGrid>
      <w:tr>
        <w:tc>
          <w:tcPr>
            <w:tcW w:type="dxa" w:w="3168"/>
            <w:shd w:val="clear" w:color="auto" w:fill="1F3A5F"/>
          </w:tcPr>
          <w:p>
            <w:pPr>
              <w:spacing w:after="20"/>
            </w:pPr>
            <w:r/>
            <w:r>
              <w:rPr>
                <w:b/>
                <w:color w:val="FFFFFF"/>
                <w:sz w:val="18"/>
              </w:rPr>
              <w:t>Configuration</w:t>
            </w:r>
          </w:p>
        </w:tc>
        <w:tc>
          <w:tcPr>
            <w:tcW w:type="dxa" w:w="1440"/>
            <w:shd w:val="clear" w:color="auto" w:fill="1F3A5F"/>
          </w:tcPr>
          <w:p>
            <w:pPr>
              <w:spacing w:after="20"/>
            </w:pPr>
            <w:r/>
            <w:r>
              <w:rPr>
                <w:b/>
                <w:color w:val="FFFFFF"/>
                <w:sz w:val="18"/>
              </w:rPr>
              <w:t>macro recall</w:t>
            </w:r>
          </w:p>
        </w:tc>
        <w:tc>
          <w:tcPr>
            <w:tcW w:type="dxa" w:w="1440"/>
            <w:shd w:val="clear" w:color="auto" w:fill="1F3A5F"/>
          </w:tcPr>
          <w:p>
            <w:pPr>
              <w:spacing w:after="20"/>
            </w:pPr>
            <w:r/>
            <w:r>
              <w:rPr>
                <w:b/>
                <w:color w:val="FFFFFF"/>
                <w:sz w:val="18"/>
              </w:rPr>
              <w:t>micro recall</w:t>
            </w:r>
          </w:p>
        </w:tc>
        <w:tc>
          <w:tcPr>
            <w:tcW w:type="dxa" w:w="1224"/>
            <w:shd w:val="clear" w:color="auto" w:fill="1F3A5F"/>
          </w:tcPr>
          <w:p>
            <w:pPr>
              <w:spacing w:after="20"/>
            </w:pPr>
            <w:r/>
            <w:r>
              <w:rPr>
                <w:b/>
                <w:color w:val="FFFFFF"/>
                <w:sz w:val="18"/>
              </w:rPr>
              <w:t>cand/entity</w:t>
            </w:r>
          </w:p>
        </w:tc>
        <w:tc>
          <w:tcPr>
            <w:tcW w:type="dxa" w:w="1224"/>
            <w:shd w:val="clear" w:color="auto" w:fill="1F3A5F"/>
          </w:tcPr>
          <w:p>
            <w:pPr>
              <w:spacing w:after="20"/>
            </w:pPr>
            <w:r/>
            <w:r>
              <w:rPr>
                <w:b/>
                <w:color w:val="FFFFFF"/>
                <w:sz w:val="18"/>
              </w:rPr>
              <w:t>queries/s</w:t>
            </w:r>
          </w:p>
        </w:tc>
        <w:tc>
          <w:tcPr>
            <w:tcW w:type="dxa" w:w="1296"/>
            <w:shd w:val="clear" w:color="auto" w:fill="1F3A5F"/>
          </w:tcPr>
          <w:p>
            <w:pPr>
              <w:spacing w:after="20"/>
            </w:pPr>
            <w:r/>
            <w:r>
              <w:rPr>
                <w:b/>
                <w:color w:val="FFFFFF"/>
                <w:sz w:val="18"/>
              </w:rPr>
              <w:t>est. full test</w:t>
            </w:r>
          </w:p>
        </w:tc>
      </w:tr>
      <w:tr>
        <w:tc>
          <w:tcPr>
            <w:tcW w:type="dxa" w:w="3168"/>
          </w:tcPr>
          <w:p>
            <w:pPr>
              <w:spacing w:after="20"/>
            </w:pPr>
            <w:r/>
            <w:r>
              <w:rPr>
                <w:sz w:val="18"/>
              </w:rPr>
              <w:t>single blended channel, df cap 40k, k=30</w:t>
            </w:r>
          </w:p>
        </w:tc>
        <w:tc>
          <w:tcPr>
            <w:tcW w:type="dxa" w:w="1440"/>
          </w:tcPr>
          <w:p>
            <w:pPr>
              <w:spacing w:after="20"/>
            </w:pPr>
            <w:r/>
            <w:r>
              <w:rPr>
                <w:sz w:val="18"/>
              </w:rPr>
              <w:t>0.8991</w:t>
            </w:r>
          </w:p>
        </w:tc>
        <w:tc>
          <w:tcPr>
            <w:tcW w:type="dxa" w:w="1440"/>
          </w:tcPr>
          <w:p>
            <w:pPr>
              <w:spacing w:after="20"/>
            </w:pPr>
            <w:r/>
            <w:r>
              <w:rPr>
                <w:sz w:val="18"/>
              </w:rPr>
              <w:t>0.8921</w:t>
            </w:r>
          </w:p>
        </w:tc>
        <w:tc>
          <w:tcPr>
            <w:tcW w:type="dxa" w:w="1224"/>
          </w:tcPr>
          <w:p>
            <w:pPr>
              <w:spacing w:after="20"/>
            </w:pPr>
            <w:r/>
            <w:r>
              <w:rPr>
                <w:sz w:val="18"/>
              </w:rPr>
              <w:t>30.0</w:t>
            </w:r>
          </w:p>
        </w:tc>
        <w:tc>
          <w:tcPr>
            <w:tcW w:type="dxa" w:w="1224"/>
          </w:tcPr>
          <w:p>
            <w:pPr>
              <w:spacing w:after="20"/>
            </w:pPr>
            <w:r/>
            <w:r>
              <w:rPr>
                <w:sz w:val="18"/>
              </w:rPr>
              <w:t>175</w:t>
            </w:r>
          </w:p>
        </w:tc>
        <w:tc>
          <w:tcPr>
            <w:tcW w:type="dxa" w:w="1296"/>
          </w:tcPr>
          <w:p>
            <w:pPr>
              <w:spacing w:after="20"/>
            </w:pPr>
            <w:r/>
            <w:r>
              <w:rPr>
                <w:sz w:val="18"/>
              </w:rPr>
              <w:t>165 min</w:t>
            </w:r>
          </w:p>
        </w:tc>
      </w:tr>
      <w:tr>
        <w:tc>
          <w:tcPr>
            <w:tcW w:type="dxa" w:w="3168"/>
            <w:shd w:val="clear" w:color="auto" w:fill="F5F7FA"/>
          </w:tcPr>
          <w:p>
            <w:pPr>
              <w:spacing w:after="20"/>
            </w:pPr>
            <w:r/>
            <w:r>
              <w:rPr>
                <w:sz w:val="18"/>
              </w:rPr>
              <w:t>noshingle-3k</w:t>
            </w:r>
          </w:p>
        </w:tc>
        <w:tc>
          <w:tcPr>
            <w:tcW w:type="dxa" w:w="1440"/>
            <w:shd w:val="clear" w:color="auto" w:fill="F5F7FA"/>
          </w:tcPr>
          <w:p>
            <w:pPr>
              <w:spacing w:after="20"/>
            </w:pPr>
            <w:r/>
            <w:r>
              <w:rPr>
                <w:sz w:val="18"/>
              </w:rPr>
              <w:t>0.8592</w:t>
            </w:r>
          </w:p>
        </w:tc>
        <w:tc>
          <w:tcPr>
            <w:tcW w:type="dxa" w:w="1440"/>
            <w:shd w:val="clear" w:color="auto" w:fill="F5F7FA"/>
          </w:tcPr>
          <w:p>
            <w:pPr>
              <w:spacing w:after="20"/>
            </w:pPr>
            <w:r/>
            <w:r>
              <w:rPr>
                <w:sz w:val="18"/>
              </w:rPr>
              <w:t>0.8505</w:t>
            </w:r>
          </w:p>
        </w:tc>
        <w:tc>
          <w:tcPr>
            <w:tcW w:type="dxa" w:w="1224"/>
            <w:shd w:val="clear" w:color="auto" w:fill="F5F7FA"/>
          </w:tcPr>
          <w:p>
            <w:pPr>
              <w:spacing w:after="20"/>
            </w:pPr>
            <w:r/>
            <w:r>
              <w:rPr>
                <w:sz w:val="18"/>
              </w:rPr>
              <w:t>29.2</w:t>
            </w:r>
          </w:p>
        </w:tc>
        <w:tc>
          <w:tcPr>
            <w:tcW w:type="dxa" w:w="1224"/>
            <w:shd w:val="clear" w:color="auto" w:fill="F5F7FA"/>
          </w:tcPr>
          <w:p>
            <w:pPr>
              <w:spacing w:after="20"/>
            </w:pPr>
            <w:r/>
            <w:r>
              <w:rPr>
                <w:sz w:val="18"/>
              </w:rPr>
              <w:t>2783</w:t>
            </w:r>
          </w:p>
        </w:tc>
        <w:tc>
          <w:tcPr>
            <w:tcW w:type="dxa" w:w="1296"/>
            <w:shd w:val="clear" w:color="auto" w:fill="F5F7FA"/>
          </w:tcPr>
          <w:p>
            <w:pPr>
              <w:spacing w:after="20"/>
            </w:pPr>
            <w:r/>
            <w:r>
              <w:rPr>
                <w:sz w:val="18"/>
              </w:rPr>
              <w:t>10 min</w:t>
            </w:r>
          </w:p>
        </w:tc>
      </w:tr>
      <w:tr>
        <w:tc>
          <w:tcPr>
            <w:tcW w:type="dxa" w:w="3168"/>
            <w:shd w:val="clear" w:color="auto" w:fill="E8F0DC"/>
          </w:tcPr>
          <w:p>
            <w:pPr>
              <w:spacing w:after="20"/>
            </w:pPr>
            <w:r/>
            <w:r>
              <w:rPr>
                <w:b/>
                <w:sz w:val="18"/>
              </w:rPr>
              <w:t>shingle1.2k (production)</w:t>
            </w:r>
          </w:p>
        </w:tc>
        <w:tc>
          <w:tcPr>
            <w:tcW w:type="dxa" w:w="1440"/>
            <w:shd w:val="clear" w:color="auto" w:fill="E8F0DC"/>
          </w:tcPr>
          <w:p>
            <w:pPr>
              <w:spacing w:after="20"/>
            </w:pPr>
            <w:r/>
            <w:r>
              <w:rPr>
                <w:b/>
                <w:sz w:val="18"/>
              </w:rPr>
              <w:t>0.8795</w:t>
            </w:r>
          </w:p>
        </w:tc>
        <w:tc>
          <w:tcPr>
            <w:tcW w:type="dxa" w:w="1440"/>
            <w:shd w:val="clear" w:color="auto" w:fill="E8F0DC"/>
          </w:tcPr>
          <w:p>
            <w:pPr>
              <w:spacing w:after="20"/>
            </w:pPr>
            <w:r/>
            <w:r>
              <w:rPr>
                <w:b/>
                <w:sz w:val="18"/>
              </w:rPr>
              <w:t>0.8717</w:t>
            </w:r>
          </w:p>
        </w:tc>
        <w:tc>
          <w:tcPr>
            <w:tcW w:type="dxa" w:w="1224"/>
            <w:shd w:val="clear" w:color="auto" w:fill="E8F0DC"/>
          </w:tcPr>
          <w:p>
            <w:pPr>
              <w:spacing w:after="20"/>
            </w:pPr>
            <w:r/>
            <w:r>
              <w:rPr>
                <w:b/>
                <w:sz w:val="18"/>
              </w:rPr>
              <w:t>31.2</w:t>
            </w:r>
          </w:p>
        </w:tc>
        <w:tc>
          <w:tcPr>
            <w:tcW w:type="dxa" w:w="1224"/>
            <w:shd w:val="clear" w:color="auto" w:fill="E8F0DC"/>
          </w:tcPr>
          <w:p>
            <w:pPr>
              <w:spacing w:after="20"/>
            </w:pPr>
            <w:r/>
            <w:r>
              <w:rPr>
                <w:b/>
                <w:sz w:val="18"/>
              </w:rPr>
              <w:t>2344</w:t>
            </w:r>
          </w:p>
        </w:tc>
        <w:tc>
          <w:tcPr>
            <w:tcW w:type="dxa" w:w="1296"/>
            <w:shd w:val="clear" w:color="auto" w:fill="E8F0DC"/>
          </w:tcPr>
          <w:p>
            <w:pPr>
              <w:spacing w:after="20"/>
            </w:pPr>
            <w:r/>
            <w:r>
              <w:rPr>
                <w:b/>
                <w:sz w:val="18"/>
              </w:rPr>
              <w:t>12 min</w:t>
            </w:r>
          </w:p>
        </w:tc>
      </w:tr>
    </w:tbl>
    <w:p>
      <w:pPr>
        <w:spacing w:after="0"/>
      </w:pPr>
    </w:p>
    <w:p>
      <w:pPr>
        <w:spacing w:before="40" w:after="240"/>
      </w:pPr>
      <w:r>
        <w:rPr>
          <w:i/>
          <w:color w:val="606060"/>
          <w:sz w:val="17"/>
        </w:rPr>
        <w:t>US partition. The highlighted row is the production configuration.</w:t>
      </w:r>
    </w:p>
    <w:p>
      <w:r>
        <w:rPr>
          <w:b/>
          <w:i w:val="0"/>
        </w:rPr>
        <w:t xml:space="preserve">Per-namespace df caps are worth 13x. </w:t>
      </w:r>
      <w:r>
        <w:rPr>
          <w:b w:val="0"/>
          <w:i w:val="0"/>
        </w:rPr>
        <w:t>Retrieval cost is the sum over query tokens of df_query(t) x df_index(t), and skeleton n-grams are about two orders of magnitude more frequent than core name tokens. One shared cap either throttles the useful tokens or lets the frequent ones dominate. Capping shingles at df 1,200 while leaving name tokens at 4,000 cut estimated full-test query time from 165 min to 12 min for 0.02 of recall.</w:t>
      </w:r>
    </w:p>
    <w:p>
      <w:r>
        <w:rPr>
          <w:b/>
          <w:i w:val="0"/>
        </w:rPr>
        <w:t xml:space="preserve">The two channels are genuinely complementary, not redundant. </w:t>
      </w:r>
      <w:r>
        <w:rPr>
          <w:b w:val="0"/>
          <w:i w:val="0"/>
        </w:rPr>
        <w:t>Alone they reach much less than together, and each contributes true links the other misses entirely - so neither can be dropped. This validates the multi-channel design over a single blended vector: the blended index scored higher alone but cost 13x more.</w:t>
      </w:r>
    </w:p>
    <w:tbl>
      <w:tblPr>
        <w:tblStyle w:val="TableGrid"/>
        <w:tblW w:type="auto" w:w="0"/>
        <w:jc w:val="center"/>
        <w:tblLayout w:type="autofit"/>
        <w:tblLook w:firstColumn="1" w:firstRow="1" w:lastColumn="0" w:lastRow="0" w:noHBand="0" w:noVBand="1" w:val="04A0"/>
      </w:tblPr>
      <w:tblGrid>
        <w:gridCol w:w="1584"/>
        <w:gridCol w:w="1584"/>
        <w:gridCol w:w="1584"/>
        <w:gridCol w:w="1584"/>
        <w:gridCol w:w="1584"/>
        <w:gridCol w:w="1584"/>
      </w:tblGrid>
      <w:tr>
        <w:tc>
          <w:tcPr>
            <w:tcW w:type="dxa" w:w="2160"/>
            <w:shd w:val="clear" w:color="auto" w:fill="1F3A5F"/>
          </w:tcPr>
          <w:p>
            <w:pPr>
              <w:spacing w:after="20"/>
            </w:pPr>
            <w:r/>
            <w:r>
              <w:rPr>
                <w:b/>
                <w:color w:val="FFFFFF"/>
                <w:sz w:val="18"/>
              </w:rPr>
              <w:t>Configuration</w:t>
            </w:r>
          </w:p>
        </w:tc>
        <w:tc>
          <w:tcPr>
            <w:tcW w:type="dxa" w:w="1224"/>
            <w:shd w:val="clear" w:color="auto" w:fill="1F3A5F"/>
          </w:tcPr>
          <w:p>
            <w:pPr>
              <w:spacing w:after="20"/>
            </w:pPr>
            <w:r/>
            <w:r>
              <w:rPr>
                <w:b/>
                <w:color w:val="FFFFFF"/>
                <w:sz w:val="18"/>
              </w:rPr>
              <w:t>name only</w:t>
            </w:r>
          </w:p>
        </w:tc>
        <w:tc>
          <w:tcPr>
            <w:tcW w:type="dxa" w:w="1224"/>
            <w:shd w:val="clear" w:color="auto" w:fill="1F3A5F"/>
          </w:tcPr>
          <w:p>
            <w:pPr>
              <w:spacing w:after="20"/>
            </w:pPr>
            <w:r/>
            <w:r>
              <w:rPr>
                <w:b/>
                <w:color w:val="FFFFFF"/>
                <w:sz w:val="18"/>
              </w:rPr>
              <w:t>addr only</w:t>
            </w:r>
          </w:p>
        </w:tc>
        <w:tc>
          <w:tcPr>
            <w:tcW w:type="dxa" w:w="1152"/>
            <w:shd w:val="clear" w:color="auto" w:fill="1F3A5F"/>
          </w:tcPr>
          <w:p>
            <w:pPr>
              <w:spacing w:after="20"/>
            </w:pPr>
            <w:r/>
            <w:r>
              <w:rPr>
                <w:b/>
                <w:color w:val="FFFFFF"/>
                <w:sz w:val="18"/>
              </w:rPr>
              <w:t>union</w:t>
            </w:r>
          </w:p>
        </w:tc>
        <w:tc>
          <w:tcPr>
            <w:tcW w:type="dxa" w:w="1584"/>
            <w:shd w:val="clear" w:color="auto" w:fill="1F3A5F"/>
          </w:tcPr>
          <w:p>
            <w:pPr>
              <w:spacing w:after="20"/>
            </w:pPr>
            <w:r/>
            <w:r>
              <w:rPr>
                <w:b/>
                <w:color w:val="FFFFFF"/>
                <w:sz w:val="18"/>
              </w:rPr>
              <w:t>name-exclusive true links</w:t>
            </w:r>
          </w:p>
        </w:tc>
        <w:tc>
          <w:tcPr>
            <w:tcW w:type="dxa" w:w="1584"/>
            <w:shd w:val="clear" w:color="auto" w:fill="1F3A5F"/>
          </w:tcPr>
          <w:p>
            <w:pPr>
              <w:spacing w:after="20"/>
            </w:pPr>
            <w:r/>
            <w:r>
              <w:rPr>
                <w:b/>
                <w:color w:val="FFFFFF"/>
                <w:sz w:val="18"/>
              </w:rPr>
              <w:t>addr-exclusive true links</w:t>
            </w:r>
          </w:p>
        </w:tc>
      </w:tr>
      <w:tr>
        <w:tc>
          <w:tcPr>
            <w:tcW w:type="dxa" w:w="2160"/>
          </w:tcPr>
          <w:p>
            <w:pPr>
              <w:spacing w:after="20"/>
            </w:pPr>
            <w:r/>
            <w:r>
              <w:rPr>
                <w:sz w:val="18"/>
              </w:rPr>
              <w:t>noshingle-3k</w:t>
            </w:r>
          </w:p>
        </w:tc>
        <w:tc>
          <w:tcPr>
            <w:tcW w:type="dxa" w:w="1224"/>
          </w:tcPr>
          <w:p>
            <w:pPr>
              <w:spacing w:after="20"/>
            </w:pPr>
            <w:r/>
            <w:r>
              <w:rPr>
                <w:sz w:val="18"/>
              </w:rPr>
              <w:t>0.5857</w:t>
            </w:r>
          </w:p>
        </w:tc>
        <w:tc>
          <w:tcPr>
            <w:tcW w:type="dxa" w:w="1224"/>
          </w:tcPr>
          <w:p>
            <w:pPr>
              <w:spacing w:after="20"/>
            </w:pPr>
            <w:r/>
            <w:r>
              <w:rPr>
                <w:sz w:val="18"/>
              </w:rPr>
              <w:t>0.6894</w:t>
            </w:r>
          </w:p>
        </w:tc>
        <w:tc>
          <w:tcPr>
            <w:tcW w:type="dxa" w:w="1152"/>
          </w:tcPr>
          <w:p>
            <w:pPr>
              <w:spacing w:after="20"/>
            </w:pPr>
            <w:r/>
            <w:r>
              <w:rPr>
                <w:sz w:val="18"/>
              </w:rPr>
              <w:t>0.8592</w:t>
            </w:r>
          </w:p>
        </w:tc>
        <w:tc>
          <w:tcPr>
            <w:tcW w:type="dxa" w:w="1584"/>
          </w:tcPr>
          <w:p>
            <w:pPr>
              <w:spacing w:after="20"/>
            </w:pPr>
            <w:r/>
            <w:r>
              <w:rPr>
                <w:sz w:val="18"/>
              </w:rPr>
              <w:t>3,161</w:t>
            </w:r>
          </w:p>
        </w:tc>
        <w:tc>
          <w:tcPr>
            <w:tcW w:type="dxa" w:w="1584"/>
          </w:tcPr>
          <w:p>
            <w:pPr>
              <w:spacing w:after="20"/>
            </w:pPr>
            <w:r/>
            <w:r>
              <w:rPr>
                <w:sz w:val="18"/>
              </w:rPr>
              <w:t>5,058</w:t>
            </w:r>
          </w:p>
        </w:tc>
      </w:tr>
      <w:tr>
        <w:tc>
          <w:tcPr>
            <w:tcW w:type="dxa" w:w="2160"/>
            <w:shd w:val="clear" w:color="auto" w:fill="F5F7FA"/>
          </w:tcPr>
          <w:p>
            <w:pPr>
              <w:spacing w:after="20"/>
            </w:pPr>
            <w:r/>
            <w:r>
              <w:rPr>
                <w:sz w:val="18"/>
              </w:rPr>
              <w:t>shingle1.2k</w:t>
            </w:r>
          </w:p>
        </w:tc>
        <w:tc>
          <w:tcPr>
            <w:tcW w:type="dxa" w:w="1224"/>
            <w:shd w:val="clear" w:color="auto" w:fill="F5F7FA"/>
          </w:tcPr>
          <w:p>
            <w:pPr>
              <w:spacing w:after="20"/>
            </w:pPr>
            <w:r/>
            <w:r>
              <w:rPr>
                <w:sz w:val="18"/>
              </w:rPr>
              <w:t>0.6545</w:t>
            </w:r>
          </w:p>
        </w:tc>
        <w:tc>
          <w:tcPr>
            <w:tcW w:type="dxa" w:w="1224"/>
            <w:shd w:val="clear" w:color="auto" w:fill="F5F7FA"/>
          </w:tcPr>
          <w:p>
            <w:pPr>
              <w:spacing w:after="20"/>
            </w:pPr>
            <w:r/>
            <w:r>
              <w:rPr>
                <w:sz w:val="18"/>
              </w:rPr>
              <w:t>0.6894</w:t>
            </w:r>
          </w:p>
        </w:tc>
        <w:tc>
          <w:tcPr>
            <w:tcW w:type="dxa" w:w="1152"/>
            <w:shd w:val="clear" w:color="auto" w:fill="F5F7FA"/>
          </w:tcPr>
          <w:p>
            <w:pPr>
              <w:spacing w:after="20"/>
            </w:pPr>
            <w:r/>
            <w:r>
              <w:rPr>
                <w:sz w:val="18"/>
              </w:rPr>
              <w:t>0.8795</w:t>
            </w:r>
          </w:p>
        </w:tc>
        <w:tc>
          <w:tcPr>
            <w:tcW w:type="dxa" w:w="1584"/>
            <w:shd w:val="clear" w:color="auto" w:fill="F5F7FA"/>
          </w:tcPr>
          <w:p>
            <w:pPr>
              <w:spacing w:after="20"/>
            </w:pPr>
            <w:r/>
            <w:r>
              <w:rPr>
                <w:sz w:val="18"/>
              </w:rPr>
              <w:t>3,551</w:t>
            </w:r>
          </w:p>
        </w:tc>
        <w:tc>
          <w:tcPr>
            <w:tcW w:type="dxa" w:w="1584"/>
            <w:shd w:val="clear" w:color="auto" w:fill="F5F7FA"/>
          </w:tcPr>
          <w:p>
            <w:pPr>
              <w:spacing w:after="20"/>
            </w:pPr>
            <w:r/>
            <w:r>
              <w:rPr>
                <w:sz w:val="18"/>
              </w:rPr>
              <w:t>4,205</w:t>
            </w:r>
          </w:p>
        </w:tc>
      </w:tr>
    </w:tbl>
    <w:p>
      <w:pPr>
        <w:spacing w:after="0"/>
      </w:pPr>
    </w:p>
    <w:p>
      <w:pPr>
        <w:spacing w:before="40" w:after="240"/>
      </w:pPr>
      <w:r>
        <w:rPr>
          <w:i/>
          <w:color w:val="606060"/>
          <w:sz w:val="17"/>
        </w:rPr>
        <w:t>Channel decomposition. Recall is macro-averaged per entity.</w:t>
      </w:r>
    </w:p>
    <w:p>
      <w:pPr>
        <w:pStyle w:val="Heading3"/>
      </w:pPr>
      <w:r>
        <w:t>3.2.1  Reduction ratio</w:t>
      </w:r>
    </w:p>
    <w:tbl>
      <w:tblPr>
        <w:tblStyle w:val="TableGrid"/>
        <w:tblW w:type="auto" w:w="0"/>
        <w:jc w:val="center"/>
        <w:tblLayout w:type="autofit"/>
        <w:tblLook w:firstColumn="1" w:firstRow="1" w:lastColumn="0" w:lastRow="0" w:noHBand="0" w:noVBand="1" w:val="04A0"/>
      </w:tblPr>
      <w:tblGrid>
        <w:gridCol w:w="4752"/>
        <w:gridCol w:w="4752"/>
      </w:tblGrid>
      <w:tr>
        <w:tc>
          <w:tcPr>
            <w:tcW w:type="dxa" w:w="4176"/>
            <w:shd w:val="clear" w:color="auto" w:fill="1F3A5F"/>
          </w:tcPr>
          <w:p>
            <w:pPr>
              <w:spacing w:after="20"/>
            </w:pPr>
            <w:r/>
            <w:r>
              <w:rPr>
                <w:b/>
                <w:color w:val="FFFFFF"/>
                <w:sz w:val="18"/>
              </w:rPr>
              <w:t>Quantity</w:t>
            </w:r>
          </w:p>
        </w:tc>
        <w:tc>
          <w:tcPr>
            <w:tcW w:type="dxa" w:w="3744"/>
            <w:shd w:val="clear" w:color="auto" w:fill="1F3A5F"/>
          </w:tcPr>
          <w:p>
            <w:pPr>
              <w:spacing w:after="20"/>
            </w:pPr>
            <w:r/>
            <w:r>
              <w:rPr>
                <w:b/>
                <w:color w:val="FFFFFF"/>
                <w:sz w:val="18"/>
              </w:rPr>
              <w:t>Value</w:t>
            </w:r>
          </w:p>
        </w:tc>
      </w:tr>
      <w:tr>
        <w:tc>
          <w:tcPr>
            <w:tcW w:type="dxa" w:w="4176"/>
          </w:tcPr>
          <w:p>
            <w:pPr>
              <w:spacing w:after="20"/>
            </w:pPr>
            <w:r/>
            <w:r>
              <w:rPr>
                <w:sz w:val="18"/>
              </w:rPr>
              <w:t>Index size (US Source 2/3 records)</w:t>
            </w:r>
          </w:p>
        </w:tc>
        <w:tc>
          <w:tcPr>
            <w:tcW w:type="dxa" w:w="3744"/>
          </w:tcPr>
          <w:p>
            <w:pPr>
              <w:spacing w:after="20"/>
            </w:pPr>
            <w:r/>
            <w:r>
              <w:rPr>
                <w:sz w:val="18"/>
              </w:rPr>
              <w:t>6,186,873</w:t>
            </w:r>
          </w:p>
        </w:tc>
      </w:tr>
      <w:tr>
        <w:tc>
          <w:tcPr>
            <w:tcW w:type="dxa" w:w="4176"/>
            <w:shd w:val="clear" w:color="auto" w:fill="F5F7FA"/>
          </w:tcPr>
          <w:p>
            <w:pPr>
              <w:spacing w:after="20"/>
            </w:pPr>
            <w:r/>
            <w:r>
              <w:rPr>
                <w:sz w:val="18"/>
              </w:rPr>
              <w:t>Vocabulary / non-zeros</w:t>
            </w:r>
          </w:p>
        </w:tc>
        <w:tc>
          <w:tcPr>
            <w:tcW w:type="dxa" w:w="3744"/>
            <w:shd w:val="clear" w:color="auto" w:fill="F5F7FA"/>
          </w:tcPr>
          <w:p>
            <w:pPr>
              <w:spacing w:after="20"/>
            </w:pPr>
            <w:r/>
            <w:r>
              <w:rPr>
                <w:sz w:val="18"/>
              </w:rPr>
              <w:t>16,565,399 / 95,501,909</w:t>
            </w:r>
          </w:p>
        </w:tc>
      </w:tr>
      <w:tr>
        <w:tc>
          <w:tcPr>
            <w:tcW w:type="dxa" w:w="4176"/>
          </w:tcPr>
          <w:p>
            <w:pPr>
              <w:spacing w:after="20"/>
            </w:pPr>
            <w:r/>
            <w:r>
              <w:rPr>
                <w:sz w:val="18"/>
              </w:rPr>
              <w:t>Mean candidates per entity</w:t>
            </w:r>
          </w:p>
        </w:tc>
        <w:tc>
          <w:tcPr>
            <w:tcW w:type="dxa" w:w="3744"/>
          </w:tcPr>
          <w:p>
            <w:pPr>
              <w:spacing w:after="20"/>
            </w:pPr>
            <w:r/>
            <w:r>
              <w:rPr>
                <w:sz w:val="18"/>
              </w:rPr>
              <w:t>30.0</w:t>
            </w:r>
          </w:p>
        </w:tc>
      </w:tr>
      <w:tr>
        <w:tc>
          <w:tcPr>
            <w:tcW w:type="dxa" w:w="4176"/>
            <w:shd w:val="clear" w:color="auto" w:fill="F5F7FA"/>
          </w:tcPr>
          <w:p>
            <w:pPr>
              <w:spacing w:after="20"/>
            </w:pPr>
            <w:r/>
            <w:r>
              <w:rPr>
                <w:sz w:val="18"/>
              </w:rPr>
              <w:t>Reduction ratio</w:t>
            </w:r>
          </w:p>
        </w:tc>
        <w:tc>
          <w:tcPr>
            <w:tcW w:type="dxa" w:w="3744"/>
            <w:shd w:val="clear" w:color="auto" w:fill="F5F7FA"/>
          </w:tcPr>
          <w:p>
            <w:pPr>
              <w:spacing w:after="20"/>
            </w:pPr>
            <w:r/>
            <w:r>
              <w:rPr>
                <w:sz w:val="18"/>
              </w:rPr>
              <w:t>0.9999951510</w:t>
            </w:r>
          </w:p>
        </w:tc>
      </w:tr>
      <w:tr>
        <w:tc>
          <w:tcPr>
            <w:tcW w:type="dxa" w:w="4176"/>
          </w:tcPr>
          <w:p>
            <w:pPr>
              <w:spacing w:after="20"/>
            </w:pPr>
            <w:r/>
            <w:r>
              <w:rPr>
                <w:sz w:val="18"/>
              </w:rPr>
              <w:t>Entities with full recall</w:t>
            </w:r>
          </w:p>
        </w:tc>
        <w:tc>
          <w:tcPr>
            <w:tcW w:type="dxa" w:w="3744"/>
          </w:tcPr>
          <w:p>
            <w:pPr>
              <w:spacing w:after="20"/>
            </w:pPr>
            <w:r/>
            <w:r>
              <w:rPr>
                <w:sz w:val="18"/>
              </w:rPr>
              <w:t>5,983 of 8,000</w:t>
            </w:r>
          </w:p>
        </w:tc>
      </w:tr>
      <w:tr>
        <w:tc>
          <w:tcPr>
            <w:tcW w:type="dxa" w:w="4176"/>
            <w:shd w:val="clear" w:color="auto" w:fill="F5F7FA"/>
          </w:tcPr>
          <w:p>
            <w:pPr>
              <w:spacing w:after="20"/>
            </w:pPr>
            <w:r/>
            <w:r>
              <w:rPr>
                <w:sz w:val="18"/>
              </w:rPr>
              <w:t>Entities with zero recall</w:t>
            </w:r>
          </w:p>
        </w:tc>
        <w:tc>
          <w:tcPr>
            <w:tcW w:type="dxa" w:w="3744"/>
            <w:shd w:val="clear" w:color="auto" w:fill="F5F7FA"/>
          </w:tcPr>
          <w:p>
            <w:pPr>
              <w:spacing w:after="20"/>
            </w:pPr>
            <w:r/>
            <w:r>
              <w:rPr>
                <w:sz w:val="18"/>
              </w:rPr>
              <w:t>143 of 8,000</w:t>
            </w:r>
          </w:p>
        </w:tc>
      </w:tr>
      <w:tr>
        <w:tc>
          <w:tcPr>
            <w:tcW w:type="dxa" w:w="4176"/>
          </w:tcPr>
          <w:p>
            <w:pPr>
              <w:spacing w:after="20"/>
            </w:pPr>
            <w:r/>
            <w:r>
              <w:rPr>
                <w:sz w:val="18"/>
              </w:rPr>
              <w:t>True links found</w:t>
            </w:r>
          </w:p>
        </w:tc>
        <w:tc>
          <w:tcPr>
            <w:tcW w:type="dxa" w:w="3744"/>
          </w:tcPr>
          <w:p>
            <w:pPr>
              <w:spacing w:after="20"/>
            </w:pPr>
            <w:r/>
            <w:r>
              <w:rPr>
                <w:sz w:val="18"/>
              </w:rPr>
              <w:t>24,851 of 27,858</w:t>
            </w:r>
          </w:p>
        </w:tc>
      </w:tr>
    </w:tbl>
    <w:p>
      <w:pPr>
        <w:spacing w:after="0"/>
      </w:pPr>
    </w:p>
    <w:p>
      <w:pPr>
        <w:spacing w:before="40" w:after="240"/>
      </w:pPr>
      <w:r>
        <w:rPr>
          <w:i/>
          <w:color w:val="606060"/>
          <w:sz w:val="17"/>
        </w:rPr>
        <w:t>Blended reference configuration, US. The reduction ratio requirement of roughly 1 - 10^-6 is met with margin.</w:t>
      </w:r>
    </w:p>
    <w:p>
      <w:pPr>
        <w:pStyle w:val="Heading3"/>
      </w:pPr>
      <w:r>
        <w:t>3.2.2  Per-country blocking recall in the end-to-end run</w:t>
      </w:r>
    </w:p>
    <w:tbl>
      <w:tblPr>
        <w:tblStyle w:val="TableGrid"/>
        <w:tblW w:type="auto" w:w="0"/>
        <w:jc w:val="center"/>
        <w:tblLayout w:type="autofit"/>
        <w:tblLook w:firstColumn="1" w:firstRow="1" w:lastColumn="0" w:lastRow="0" w:noHBand="0" w:noVBand="1" w:val="04A0"/>
      </w:tblPr>
      <w:tblGrid>
        <w:gridCol w:w="1584"/>
        <w:gridCol w:w="1584"/>
        <w:gridCol w:w="1584"/>
        <w:gridCol w:w="1584"/>
        <w:gridCol w:w="1584"/>
        <w:gridCol w:w="1584"/>
      </w:tblGrid>
      <w:tr>
        <w:tc>
          <w:tcPr>
            <w:tcW w:type="dxa" w:w="1296"/>
            <w:shd w:val="clear" w:color="auto" w:fill="1F3A5F"/>
          </w:tcPr>
          <w:p>
            <w:pPr>
              <w:spacing w:after="20"/>
            </w:pPr>
            <w:r/>
            <w:r>
              <w:rPr>
                <w:b/>
                <w:color w:val="FFFFFF"/>
                <w:sz w:val="18"/>
              </w:rPr>
              <w:t>Country</w:t>
            </w:r>
          </w:p>
        </w:tc>
        <w:tc>
          <w:tcPr>
            <w:tcW w:type="dxa" w:w="1440"/>
            <w:shd w:val="clear" w:color="auto" w:fill="1F3A5F"/>
          </w:tcPr>
          <w:p>
            <w:pPr>
              <w:spacing w:after="20"/>
            </w:pPr>
            <w:r/>
            <w:r>
              <w:rPr>
                <w:b/>
                <w:color w:val="FFFFFF"/>
                <w:sz w:val="18"/>
              </w:rPr>
              <w:t>macro recall</w:t>
            </w:r>
          </w:p>
        </w:tc>
        <w:tc>
          <w:tcPr>
            <w:tcW w:type="dxa" w:w="1440"/>
            <w:shd w:val="clear" w:color="auto" w:fill="1F3A5F"/>
          </w:tcPr>
          <w:p>
            <w:pPr>
              <w:spacing w:after="20"/>
            </w:pPr>
            <w:r/>
            <w:r>
              <w:rPr>
                <w:b/>
                <w:color w:val="FFFFFF"/>
                <w:sz w:val="18"/>
              </w:rPr>
              <w:t>micro recall</w:t>
            </w:r>
          </w:p>
        </w:tc>
        <w:tc>
          <w:tcPr>
            <w:tcW w:type="dxa" w:w="1584"/>
            <w:shd w:val="clear" w:color="auto" w:fill="1F3A5F"/>
          </w:tcPr>
          <w:p>
            <w:pPr>
              <w:spacing w:after="20"/>
            </w:pPr>
            <w:r/>
            <w:r>
              <w:rPr>
                <w:b/>
                <w:color w:val="FFFFFF"/>
                <w:sz w:val="18"/>
              </w:rPr>
              <w:t>full-recall entities</w:t>
            </w:r>
          </w:p>
        </w:tc>
        <w:tc>
          <w:tcPr>
            <w:tcW w:type="dxa" w:w="1584"/>
            <w:shd w:val="clear" w:color="auto" w:fill="1F3A5F"/>
          </w:tcPr>
          <w:p>
            <w:pPr>
              <w:spacing w:after="20"/>
            </w:pPr>
            <w:r/>
            <w:r>
              <w:rPr>
                <w:b/>
                <w:color w:val="FFFFFF"/>
                <w:sz w:val="18"/>
              </w:rPr>
              <w:t>zero-recall entities</w:t>
            </w:r>
          </w:p>
        </w:tc>
        <w:tc>
          <w:tcPr>
            <w:tcW w:type="dxa" w:w="1584"/>
            <w:shd w:val="clear" w:color="auto" w:fill="1F3A5F"/>
          </w:tcPr>
          <w:p>
            <w:pPr>
              <w:spacing w:after="20"/>
            </w:pPr>
            <w:r/>
            <w:r>
              <w:rPr>
                <w:b/>
                <w:color w:val="FFFFFF"/>
                <w:sz w:val="18"/>
              </w:rPr>
              <w:t>links found</w:t>
            </w:r>
          </w:p>
        </w:tc>
      </w:tr>
      <w:tr>
        <w:tc>
          <w:tcPr>
            <w:tcW w:type="dxa" w:w="1296"/>
          </w:tcPr>
          <w:p>
            <w:pPr>
              <w:spacing w:after="20"/>
            </w:pPr>
            <w:r/>
            <w:r>
              <w:rPr>
                <w:sz w:val="18"/>
              </w:rPr>
              <w:t>India</w:t>
            </w:r>
          </w:p>
        </w:tc>
        <w:tc>
          <w:tcPr>
            <w:tcW w:type="dxa" w:w="1440"/>
          </w:tcPr>
          <w:p>
            <w:pPr>
              <w:spacing w:after="20"/>
            </w:pPr>
            <w:r/>
            <w:r>
              <w:rPr>
                <w:sz w:val="18"/>
              </w:rPr>
              <w:t>0.8413</w:t>
            </w:r>
          </w:p>
        </w:tc>
        <w:tc>
          <w:tcPr>
            <w:tcW w:type="dxa" w:w="1440"/>
          </w:tcPr>
          <w:p>
            <w:pPr>
              <w:spacing w:after="20"/>
            </w:pPr>
            <w:r/>
            <w:r>
              <w:rPr>
                <w:sz w:val="18"/>
              </w:rPr>
              <w:t>0.8304</w:t>
            </w:r>
          </w:p>
        </w:tc>
        <w:tc>
          <w:tcPr>
            <w:tcW w:type="dxa" w:w="1584"/>
          </w:tcPr>
          <w:p>
            <w:pPr>
              <w:spacing w:after="20"/>
            </w:pPr>
            <w:r/>
            <w:r>
              <w:rPr>
                <w:sz w:val="18"/>
              </w:rPr>
              <w:t>2,614</w:t>
            </w:r>
          </w:p>
        </w:tc>
        <w:tc>
          <w:tcPr>
            <w:tcW w:type="dxa" w:w="1584"/>
          </w:tcPr>
          <w:p>
            <w:pPr>
              <w:spacing w:after="20"/>
            </w:pPr>
            <w:r/>
            <w:r>
              <w:rPr>
                <w:sz w:val="18"/>
              </w:rPr>
              <w:t>135</w:t>
            </w:r>
          </w:p>
        </w:tc>
        <w:tc>
          <w:tcPr>
            <w:tcW w:type="dxa" w:w="1584"/>
          </w:tcPr>
          <w:p>
            <w:pPr>
              <w:spacing w:after="20"/>
            </w:pPr>
            <w:r/>
            <w:r>
              <w:rPr>
                <w:sz w:val="18"/>
              </w:rPr>
              <w:t>11,601 / 13,970</w:t>
            </w:r>
          </w:p>
        </w:tc>
      </w:tr>
      <w:tr>
        <w:tc>
          <w:tcPr>
            <w:tcW w:type="dxa" w:w="1296"/>
            <w:shd w:val="clear" w:color="auto" w:fill="F5F7FA"/>
          </w:tcPr>
          <w:p>
            <w:pPr>
              <w:spacing w:after="20"/>
            </w:pPr>
            <w:r/>
            <w:r>
              <w:rPr>
                <w:sz w:val="18"/>
              </w:rPr>
              <w:t>US</w:t>
            </w:r>
          </w:p>
        </w:tc>
        <w:tc>
          <w:tcPr>
            <w:tcW w:type="dxa" w:w="1440"/>
            <w:shd w:val="clear" w:color="auto" w:fill="F5F7FA"/>
          </w:tcPr>
          <w:p>
            <w:pPr>
              <w:spacing w:after="20"/>
            </w:pPr>
            <w:r/>
            <w:r>
              <w:rPr>
                <w:sz w:val="18"/>
              </w:rPr>
              <w:t>0.8790</w:t>
            </w:r>
          </w:p>
        </w:tc>
        <w:tc>
          <w:tcPr>
            <w:tcW w:type="dxa" w:w="1440"/>
            <w:shd w:val="clear" w:color="auto" w:fill="F5F7FA"/>
          </w:tcPr>
          <w:p>
            <w:pPr>
              <w:spacing w:after="20"/>
            </w:pPr>
            <w:r/>
            <w:r>
              <w:rPr>
                <w:sz w:val="18"/>
              </w:rPr>
              <w:t>0.8718</w:t>
            </w:r>
          </w:p>
        </w:tc>
        <w:tc>
          <w:tcPr>
            <w:tcW w:type="dxa" w:w="1584"/>
            <w:shd w:val="clear" w:color="auto" w:fill="F5F7FA"/>
          </w:tcPr>
          <w:p>
            <w:pPr>
              <w:spacing w:after="20"/>
            </w:pPr>
            <w:r/>
            <w:r>
              <w:rPr>
                <w:sz w:val="18"/>
              </w:rPr>
              <w:t>2,844</w:t>
            </w:r>
          </w:p>
        </w:tc>
        <w:tc>
          <w:tcPr>
            <w:tcW w:type="dxa" w:w="1584"/>
            <w:shd w:val="clear" w:color="auto" w:fill="F5F7FA"/>
          </w:tcPr>
          <w:p>
            <w:pPr>
              <w:spacing w:after="20"/>
            </w:pPr>
            <w:r/>
            <w:r>
              <w:rPr>
                <w:sz w:val="18"/>
              </w:rPr>
              <w:t>94</w:t>
            </w:r>
          </w:p>
        </w:tc>
        <w:tc>
          <w:tcPr>
            <w:tcW w:type="dxa" w:w="1584"/>
            <w:shd w:val="clear" w:color="auto" w:fill="F5F7FA"/>
          </w:tcPr>
          <w:p>
            <w:pPr>
              <w:spacing w:after="20"/>
            </w:pPr>
            <w:r/>
            <w:r>
              <w:rPr>
                <w:sz w:val="18"/>
              </w:rPr>
              <w:t>12,181 / 13,973</w:t>
            </w:r>
          </w:p>
        </w:tc>
      </w:tr>
      <w:tr>
        <w:tc>
          <w:tcPr>
            <w:tcW w:type="dxa" w:w="1296"/>
            <w:shd w:val="clear" w:color="auto" w:fill="E8F0DC"/>
          </w:tcPr>
          <w:p>
            <w:pPr>
              <w:spacing w:after="20"/>
            </w:pPr>
            <w:r/>
            <w:r>
              <w:rPr>
                <w:b/>
                <w:sz w:val="18"/>
              </w:rPr>
              <w:t>overall</w:t>
            </w:r>
          </w:p>
        </w:tc>
        <w:tc>
          <w:tcPr>
            <w:tcW w:type="dxa" w:w="1440"/>
            <w:shd w:val="clear" w:color="auto" w:fill="E8F0DC"/>
          </w:tcPr>
          <w:p>
            <w:pPr>
              <w:spacing w:after="20"/>
            </w:pPr>
            <w:r/>
            <w:r>
              <w:rPr>
                <w:b/>
                <w:sz w:val="18"/>
              </w:rPr>
              <w:t>0.8602</w:t>
            </w:r>
          </w:p>
        </w:tc>
        <w:tc>
          <w:tcPr>
            <w:tcW w:type="dxa" w:w="1440"/>
            <w:shd w:val="clear" w:color="auto" w:fill="E8F0DC"/>
          </w:tcPr>
          <w:p>
            <w:pPr>
              <w:spacing w:after="20"/>
            </w:pPr>
            <w:r/>
            <w:r>
              <w:rPr>
                <w:b/>
                <w:sz w:val="18"/>
              </w:rPr>
              <w:t>-</w:t>
            </w:r>
          </w:p>
        </w:tc>
        <w:tc>
          <w:tcPr>
            <w:tcW w:type="dxa" w:w="1584"/>
            <w:shd w:val="clear" w:color="auto" w:fill="E8F0DC"/>
          </w:tcPr>
          <w:p>
            <w:pPr>
              <w:spacing w:after="20"/>
            </w:pPr>
            <w:r/>
            <w:r>
              <w:rPr>
                <w:b/>
                <w:sz w:val="18"/>
              </w:rPr>
              <w:t>-</w:t>
            </w:r>
          </w:p>
        </w:tc>
        <w:tc>
          <w:tcPr>
            <w:tcW w:type="dxa" w:w="1584"/>
            <w:shd w:val="clear" w:color="auto" w:fill="E8F0DC"/>
          </w:tcPr>
          <w:p>
            <w:pPr>
              <w:spacing w:after="20"/>
            </w:pPr>
            <w:r/>
            <w:r>
              <w:rPr>
                <w:b/>
                <w:sz w:val="18"/>
              </w:rPr>
              <w:t>-</w:t>
            </w:r>
          </w:p>
        </w:tc>
        <w:tc>
          <w:tcPr>
            <w:tcW w:type="dxa" w:w="1584"/>
            <w:shd w:val="clear" w:color="auto" w:fill="E8F0DC"/>
          </w:tcPr>
          <w:p>
            <w:pPr>
              <w:spacing w:after="20"/>
            </w:pPr>
            <w:r/>
            <w:r>
              <w:rPr>
                <w:b/>
                <w:sz w:val="18"/>
              </w:rPr>
              <w:t>-</w:t>
            </w:r>
          </w:p>
        </w:tc>
      </w:tr>
    </w:tbl>
    <w:p>
      <w:pPr>
        <w:spacing w:after="0"/>
      </w:pPr>
    </w:p>
    <w:p>
      <w:r>
        <w:rPr>
          <w:b w:val="0"/>
          <w:i w:val="0"/>
        </w:rPr>
        <w:t xml:space="preserve">India lags US by </w:t>
      </w:r>
      <w:r>
        <w:rPr>
          <w:b/>
          <w:i w:val="0"/>
        </w:rPr>
        <w:t>0.0376</w:t>
      </w:r>
      <w:r>
        <w:rPr>
          <w:b w:val="0"/>
          <w:i w:val="0"/>
        </w:rPr>
        <w:t xml:space="preserve"> of blocking recall (</w:t>
      </w:r>
      <w:r>
        <w:rPr>
          <w:rFonts w:ascii="Consolas" w:hAnsi="Consolas"/>
          <w:b w:val="0"/>
          <w:i w:val="0"/>
          <w:sz w:val="19"/>
        </w:rPr>
        <w:t>0.8413 vs 0.8790</w:t>
      </w:r>
      <w:r>
        <w:rPr>
          <w:b w:val="0"/>
          <w:i w:val="0"/>
        </w:rPr>
        <w:t>), and India is 47% of the test set. Devanagari names and landmark-based addresses are the likely cause. The address channel already carries these cases, so the higher top_k in 3.8 should help most here.</w:t>
      </w:r>
    </w:p>
    <w:p>
      <w:pPr>
        <w:pStyle w:val="Heading3"/>
      </w:pPr>
      <w:r>
        <w:t>3.2.3  Recall ceiling arithmetic</w:t>
      </w:r>
    </w:p>
    <w:p>
      <w:r>
        <w:rPr>
          <w:b w:val="0"/>
          <w:i w:val="0"/>
        </w:rPr>
        <w:t>If candidate generation retrieves a fraction r of an entity's true matches and the matcher then selects exactly those, the achieved score is 1.25r / (0.25 + r):</w:t>
      </w:r>
    </w:p>
    <w:tbl>
      <w:tblPr>
        <w:tblStyle w:val="TableGrid"/>
        <w:tblW w:type="auto" w:w="0"/>
        <w:jc w:val="center"/>
        <w:tblLayout w:type="autofit"/>
        <w:tblLook w:firstColumn="1" w:firstRow="1" w:lastColumn="0" w:lastRow="0" w:noHBand="0" w:noVBand="1" w:val="04A0"/>
      </w:tblPr>
      <w:tblGrid>
        <w:gridCol w:w="4752"/>
        <w:gridCol w:w="4752"/>
      </w:tblGrid>
      <w:tr>
        <w:tc>
          <w:tcPr>
            <w:tcW w:type="dxa" w:w="3456"/>
            <w:shd w:val="clear" w:color="auto" w:fill="1F3A5F"/>
          </w:tcPr>
          <w:p>
            <w:pPr>
              <w:spacing w:after="20"/>
            </w:pPr>
            <w:r/>
            <w:r>
              <w:rPr>
                <w:b/>
                <w:color w:val="FFFFFF"/>
                <w:sz w:val="18"/>
              </w:rPr>
              <w:t>blocking macro recall r</w:t>
            </w:r>
          </w:p>
        </w:tc>
        <w:tc>
          <w:tcPr>
            <w:tcW w:type="dxa" w:w="3168"/>
            <w:shd w:val="clear" w:color="auto" w:fill="1F3A5F"/>
          </w:tcPr>
          <w:p>
            <w:pPr>
              <w:spacing w:after="20"/>
            </w:pPr>
            <w:r/>
            <w:r>
              <w:rPr>
                <w:b/>
                <w:color w:val="FFFFFF"/>
                <w:sz w:val="18"/>
              </w:rPr>
              <w:t>ceiling on macro F0.5</w:t>
            </w:r>
          </w:p>
        </w:tc>
      </w:tr>
      <w:tr>
        <w:tc>
          <w:tcPr>
            <w:tcW w:type="dxa" w:w="3456"/>
          </w:tcPr>
          <w:p>
            <w:pPr>
              <w:spacing w:after="20"/>
            </w:pPr>
            <w:r/>
            <w:r>
              <w:rPr>
                <w:sz w:val="18"/>
              </w:rPr>
              <w:t>0.80</w:t>
            </w:r>
          </w:p>
        </w:tc>
        <w:tc>
          <w:tcPr>
            <w:tcW w:type="dxa" w:w="3168"/>
          </w:tcPr>
          <w:p>
            <w:pPr>
              <w:spacing w:after="20"/>
            </w:pPr>
            <w:r/>
            <w:r>
              <w:rPr>
                <w:sz w:val="18"/>
              </w:rPr>
              <w:t>0.952</w:t>
            </w:r>
          </w:p>
        </w:tc>
      </w:tr>
      <w:tr>
        <w:tc>
          <w:tcPr>
            <w:tcW w:type="dxa" w:w="3456"/>
            <w:shd w:val="clear" w:color="auto" w:fill="F5F7FA"/>
          </w:tcPr>
          <w:p>
            <w:pPr>
              <w:spacing w:after="20"/>
            </w:pPr>
            <w:r/>
            <w:r>
              <w:rPr>
                <w:sz w:val="18"/>
              </w:rPr>
              <w:t>0.84 (India, this run)</w:t>
            </w:r>
          </w:p>
        </w:tc>
        <w:tc>
          <w:tcPr>
            <w:tcW w:type="dxa" w:w="3168"/>
            <w:shd w:val="clear" w:color="auto" w:fill="F5F7FA"/>
          </w:tcPr>
          <w:p>
            <w:pPr>
              <w:spacing w:after="20"/>
            </w:pPr>
            <w:r/>
            <w:r>
              <w:rPr>
                <w:sz w:val="18"/>
              </w:rPr>
              <w:t>0.9633</w:t>
            </w:r>
          </w:p>
        </w:tc>
      </w:tr>
      <w:tr>
        <w:tc>
          <w:tcPr>
            <w:tcW w:type="dxa" w:w="3456"/>
          </w:tcPr>
          <w:p>
            <w:pPr>
              <w:spacing w:after="20"/>
            </w:pPr>
            <w:r/>
            <w:r>
              <w:rPr>
                <w:sz w:val="18"/>
              </w:rPr>
              <w:t>0.86 (overall, this run)</w:t>
            </w:r>
          </w:p>
        </w:tc>
        <w:tc>
          <w:tcPr>
            <w:tcW w:type="dxa" w:w="3168"/>
          </w:tcPr>
          <w:p>
            <w:pPr>
              <w:spacing w:after="20"/>
            </w:pPr>
            <w:r/>
            <w:r>
              <w:rPr>
                <w:sz w:val="18"/>
              </w:rPr>
              <w:t>0.968</w:t>
            </w:r>
          </w:p>
        </w:tc>
      </w:tr>
      <w:tr>
        <w:tc>
          <w:tcPr>
            <w:tcW w:type="dxa" w:w="3456"/>
            <w:shd w:val="clear" w:color="auto" w:fill="F5F7FA"/>
          </w:tcPr>
          <w:p>
            <w:pPr>
              <w:spacing w:after="20"/>
            </w:pPr>
            <w:r/>
            <w:r>
              <w:rPr>
                <w:sz w:val="18"/>
              </w:rPr>
              <w:t>0.88 (US production sweep)</w:t>
            </w:r>
          </w:p>
        </w:tc>
        <w:tc>
          <w:tcPr>
            <w:tcW w:type="dxa" w:w="3168"/>
            <w:shd w:val="clear" w:color="auto" w:fill="F5F7FA"/>
          </w:tcPr>
          <w:p>
            <w:pPr>
              <w:spacing w:after="20"/>
            </w:pPr>
            <w:r/>
            <w:r>
              <w:rPr>
                <w:sz w:val="18"/>
              </w:rPr>
              <w:t>0.973</w:t>
            </w:r>
          </w:p>
        </w:tc>
      </w:tr>
      <w:tr>
        <w:tc>
          <w:tcPr>
            <w:tcW w:type="dxa" w:w="3456"/>
          </w:tcPr>
          <w:p>
            <w:pPr>
              <w:spacing w:after="20"/>
            </w:pPr>
            <w:r/>
            <w:r>
              <w:rPr>
                <w:sz w:val="18"/>
              </w:rPr>
              <w:t>0.90</w:t>
            </w:r>
          </w:p>
        </w:tc>
        <w:tc>
          <w:tcPr>
            <w:tcW w:type="dxa" w:w="3168"/>
          </w:tcPr>
          <w:p>
            <w:pPr>
              <w:spacing w:after="20"/>
            </w:pPr>
            <w:r/>
            <w:r>
              <w:rPr>
                <w:sz w:val="18"/>
              </w:rPr>
              <w:t>0.978</w:t>
            </w:r>
          </w:p>
        </w:tc>
      </w:tr>
      <w:tr>
        <w:tc>
          <w:tcPr>
            <w:tcW w:type="dxa" w:w="3456"/>
            <w:shd w:val="clear" w:color="auto" w:fill="F5F7FA"/>
          </w:tcPr>
          <w:p>
            <w:pPr>
              <w:spacing w:after="20"/>
            </w:pPr>
            <w:r/>
            <w:r>
              <w:rPr>
                <w:sz w:val="18"/>
              </w:rPr>
              <w:t>0.95</w:t>
            </w:r>
          </w:p>
        </w:tc>
        <w:tc>
          <w:tcPr>
            <w:tcW w:type="dxa" w:w="3168"/>
            <w:shd w:val="clear" w:color="auto" w:fill="F5F7FA"/>
          </w:tcPr>
          <w:p>
            <w:pPr>
              <w:spacing w:after="20"/>
            </w:pPr>
            <w:r/>
            <w:r>
              <w:rPr>
                <w:sz w:val="18"/>
              </w:rPr>
              <w:t>0.990</w:t>
            </w:r>
          </w:p>
        </w:tc>
      </w:tr>
    </w:tbl>
    <w:p>
      <w:pPr>
        <w:spacing w:after="0"/>
      </w:pPr>
    </w:p>
    <w:p>
      <w:pPr>
        <w:spacing w:before="40" w:after="240"/>
      </w:pPr>
      <w:r>
        <w:rPr>
          <w:i/>
          <w:color w:val="606060"/>
          <w:sz w:val="17"/>
        </w:rPr>
        <w:t>Because beta = 0.5 discounts recall, two extra points of blocking recall are worth roughly 0.005 F0.5, whereas a false merge costs an entire entity.</w:t>
      </w:r>
    </w:p>
    <w:p>
      <w:pPr>
        <w:pStyle w:val="Heading2"/>
      </w:pPr>
      <w:r>
        <w:t>3.3  Matcher quality</w:t>
      </w:r>
    </w:p>
    <w:tbl>
      <w:tblPr>
        <w:tblStyle w:val="TableGrid"/>
        <w:tblW w:type="auto" w:w="0"/>
        <w:jc w:val="center"/>
        <w:tblLayout w:type="autofit"/>
        <w:tblLook w:firstColumn="1" w:firstRow="1" w:lastColumn="0" w:lastRow="0" w:noHBand="0" w:noVBand="1" w:val="04A0"/>
      </w:tblPr>
      <w:tblGrid>
        <w:gridCol w:w="1901"/>
        <w:gridCol w:w="1901"/>
        <w:gridCol w:w="1901"/>
        <w:gridCol w:w="1901"/>
        <w:gridCol w:w="1901"/>
      </w:tblGrid>
      <w:tr>
        <w:tc>
          <w:tcPr>
            <w:tcW w:type="dxa" w:w="3312"/>
            <w:shd w:val="clear" w:color="auto" w:fill="1F3A5F"/>
          </w:tcPr>
          <w:p>
            <w:pPr>
              <w:spacing w:after="20"/>
            </w:pPr>
            <w:r/>
            <w:r>
              <w:rPr>
                <w:b/>
                <w:color w:val="FFFFFF"/>
                <w:sz w:val="18"/>
              </w:rPr>
              <w:t>Model</w:t>
            </w:r>
          </w:p>
        </w:tc>
        <w:tc>
          <w:tcPr>
            <w:tcW w:type="dxa" w:w="1296"/>
            <w:shd w:val="clear" w:color="auto" w:fill="1F3A5F"/>
          </w:tcPr>
          <w:p>
            <w:pPr>
              <w:spacing w:after="20"/>
            </w:pPr>
            <w:r/>
            <w:r>
              <w:rPr>
                <w:b/>
                <w:color w:val="FFFFFF"/>
                <w:sz w:val="18"/>
              </w:rPr>
              <w:t>val AUC</w:t>
            </w:r>
          </w:p>
        </w:tc>
        <w:tc>
          <w:tcPr>
            <w:tcW w:type="dxa" w:w="1872"/>
            <w:shd w:val="clear" w:color="auto" w:fill="1F3A5F"/>
          </w:tcPr>
          <w:p>
            <w:pPr>
              <w:spacing w:after="20"/>
            </w:pPr>
            <w:r/>
            <w:r>
              <w:rPr>
                <w:b/>
                <w:color w:val="FFFFFF"/>
                <w:sz w:val="18"/>
              </w:rPr>
              <w:t>val average precision</w:t>
            </w:r>
          </w:p>
        </w:tc>
        <w:tc>
          <w:tcPr>
            <w:tcW w:type="dxa" w:w="1584"/>
            <w:shd w:val="clear" w:color="auto" w:fill="1F3A5F"/>
          </w:tcPr>
          <w:p>
            <w:pPr>
              <w:spacing w:after="20"/>
            </w:pPr>
            <w:r/>
            <w:r>
              <w:rPr>
                <w:b/>
                <w:color w:val="FFFFFF"/>
                <w:sz w:val="18"/>
              </w:rPr>
              <w:t>approx. parameters</w:t>
            </w:r>
          </w:p>
        </w:tc>
        <w:tc>
          <w:tcPr>
            <w:tcW w:type="dxa" w:w="864"/>
            <w:shd w:val="clear" w:color="auto" w:fill="1F3A5F"/>
          </w:tcPr>
          <w:p>
            <w:pPr>
              <w:spacing w:after="20"/>
            </w:pPr>
            <w:r/>
            <w:r>
              <w:rPr>
                <w:b/>
                <w:color w:val="FFFFFF"/>
                <w:sz w:val="18"/>
              </w:rPr>
              <w:t>kind</w:t>
            </w:r>
          </w:p>
        </w:tc>
      </w:tr>
      <w:tr>
        <w:tc>
          <w:tcPr>
            <w:tcW w:type="dxa" w:w="3312"/>
          </w:tcPr>
          <w:p>
            <w:pPr>
              <w:spacing w:after="20"/>
            </w:pPr>
            <w:r/>
            <w:r>
              <w:rPr>
                <w:sz w:val="18"/>
              </w:rPr>
              <w:t>Stage 1 - pairwise GBDT</w:t>
            </w:r>
          </w:p>
        </w:tc>
        <w:tc>
          <w:tcPr>
            <w:tcW w:type="dxa" w:w="1296"/>
          </w:tcPr>
          <w:p>
            <w:pPr>
              <w:spacing w:after="20"/>
            </w:pPr>
            <w:r/>
            <w:r>
              <w:rPr>
                <w:sz w:val="18"/>
              </w:rPr>
              <w:t>0.99935</w:t>
            </w:r>
          </w:p>
        </w:tc>
        <w:tc>
          <w:tcPr>
            <w:tcW w:type="dxa" w:w="1872"/>
          </w:tcPr>
          <w:p>
            <w:pPr>
              <w:spacing w:after="20"/>
            </w:pPr>
            <w:r/>
            <w:r>
              <w:rPr>
                <w:sz w:val="18"/>
              </w:rPr>
              <w:t>0.99441</w:t>
            </w:r>
          </w:p>
        </w:tc>
        <w:tc>
          <w:tcPr>
            <w:tcW w:type="dxa" w:w="1584"/>
          </w:tcPr>
          <w:p>
            <w:pPr>
              <w:spacing w:after="20"/>
            </w:pPr>
            <w:r/>
            <w:r>
              <w:rPr>
                <w:sz w:val="18"/>
              </w:rPr>
              <w:t>100,000</w:t>
            </w:r>
          </w:p>
        </w:tc>
        <w:tc>
          <w:tcPr>
            <w:tcW w:type="dxa" w:w="864"/>
          </w:tcPr>
          <w:p>
            <w:pPr>
              <w:spacing w:after="20"/>
            </w:pPr>
            <w:r/>
            <w:r>
              <w:rPr>
                <w:sz w:val="18"/>
              </w:rPr>
              <w:t>hgb</w:t>
            </w:r>
          </w:p>
        </w:tc>
      </w:tr>
      <w:tr>
        <w:tc>
          <w:tcPr>
            <w:tcW w:type="dxa" w:w="3312"/>
            <w:shd w:val="clear" w:color="auto" w:fill="F5F7FA"/>
          </w:tcPr>
          <w:p>
            <w:pPr>
              <w:spacing w:after="20"/>
            </w:pPr>
            <w:r/>
            <w:r>
              <w:rPr>
                <w:sz w:val="18"/>
              </w:rPr>
              <w:t>Stage 2 - stacked GBDT (+ graph features)</w:t>
            </w:r>
          </w:p>
        </w:tc>
        <w:tc>
          <w:tcPr>
            <w:tcW w:type="dxa" w:w="1296"/>
            <w:shd w:val="clear" w:color="auto" w:fill="F5F7FA"/>
          </w:tcPr>
          <w:p>
            <w:pPr>
              <w:spacing w:after="20"/>
            </w:pPr>
            <w:r/>
            <w:r>
              <w:rPr>
                <w:sz w:val="18"/>
              </w:rPr>
              <w:t>0.99748</w:t>
            </w:r>
          </w:p>
        </w:tc>
        <w:tc>
          <w:tcPr>
            <w:tcW w:type="dxa" w:w="1872"/>
            <w:shd w:val="clear" w:color="auto" w:fill="F5F7FA"/>
          </w:tcPr>
          <w:p>
            <w:pPr>
              <w:spacing w:after="20"/>
            </w:pPr>
            <w:r/>
            <w:r>
              <w:rPr>
                <w:sz w:val="18"/>
              </w:rPr>
              <w:t>0.98886</w:t>
            </w:r>
          </w:p>
        </w:tc>
        <w:tc>
          <w:tcPr>
            <w:tcW w:type="dxa" w:w="1584"/>
            <w:shd w:val="clear" w:color="auto" w:fill="F5F7FA"/>
          </w:tcPr>
          <w:p>
            <w:pPr>
              <w:spacing w:after="20"/>
            </w:pPr>
            <w:r/>
            <w:r>
              <w:rPr>
                <w:sz w:val="18"/>
              </w:rPr>
              <w:t>83,316</w:t>
            </w:r>
          </w:p>
        </w:tc>
        <w:tc>
          <w:tcPr>
            <w:tcW w:type="dxa" w:w="864"/>
            <w:shd w:val="clear" w:color="auto" w:fill="F5F7FA"/>
          </w:tcPr>
          <w:p>
            <w:pPr>
              <w:spacing w:after="20"/>
            </w:pPr>
            <w:r/>
            <w:r>
              <w:rPr>
                <w:sz w:val="18"/>
              </w:rPr>
              <w:t>hgb</w:t>
            </w:r>
          </w:p>
        </w:tc>
      </w:tr>
    </w:tbl>
    <w:p>
      <w:pPr>
        <w:spacing w:after="0"/>
      </w:pPr>
    </w:p>
    <w:p>
      <w:pPr>
        <w:spacing w:before="40" w:after="240"/>
      </w:pPr>
      <w:r>
        <w:rPr>
          <w:i/>
          <w:color w:val="606060"/>
          <w:sz w:val="17"/>
        </w:rPr>
        <w:t>Held-out validation, split by entity so no entity appears in both sides. Both models are far inside the 8-billion-parameter cap and both are sklearn HistGradientBoostingClassifier, which is BSD-licensed and needs no compiler.</w:t>
      </w:r>
    </w:p>
    <w:p>
      <w:r>
        <w:rPr>
          <w:b/>
          <w:i w:val="0"/>
        </w:rPr>
        <w:t xml:space="preserve">The matcher is far more accurate than anticipated. </w:t>
      </w:r>
      <w:r>
        <w:rPr>
          <w:b w:val="0"/>
          <w:i w:val="0"/>
        </w:rPr>
        <w:t>Stage-1 AUC 0.99935 and AP 0.99441 on real held-out data. Normalisation plus the IDF-weighted rarity features separate matches from non-matches almost perfectly. The practical consequence is that the probability distribution is strongly bimodal, which is why every fixed threshold from 0.3 to 0.8 lands within 0.0006 of the others - there is almost nothing in the middle to threshold.</w:t>
      </w:r>
    </w:p>
    <w:p>
      <w:r>
        <w:rPr>
          <w:b/>
          <w:i w:val="0"/>
        </w:rPr>
        <w:t xml:space="preserve">Stage 2 regressed, and why. </w:t>
      </w:r>
      <w:r>
        <w:rPr>
          <w:b w:val="0"/>
          <w:i w:val="0"/>
        </w:rPr>
        <w:t>Stage-2 AP 0.98886 is below stage-1 0.99441. Stage 2 was fed only 12 curated raw features plus the graph features, to keep test-set memory in budget. That truncation cost more than the graph features added. Two fixes, both recorded as actions in 3.8: give stage 2 the full feature matrix and spill the pairwise matrix to an on-disk float32 memmap during pass 1; and adopt stage 2 only if it beats stage 1 on validation average precision, with the choice recorded in the model bundle so inference cannot silently use a worse model.</w:t>
      </w:r>
    </w:p>
    <w:p>
      <w:pPr>
        <w:pStyle w:val="Heading2"/>
      </w:pPr>
      <w:r>
        <w:t>3.4  Probability calibration</w:t>
      </w:r>
    </w:p>
    <w:tbl>
      <w:tblPr>
        <w:tblStyle w:val="TableGrid"/>
        <w:tblW w:type="auto" w:w="0"/>
        <w:jc w:val="center"/>
        <w:tblLayout w:type="autofit"/>
        <w:tblLook w:firstColumn="1" w:firstRow="1" w:lastColumn="0" w:lastRow="0" w:noHBand="0" w:noVBand="1" w:val="04A0"/>
      </w:tblPr>
      <w:tblGrid>
        <w:gridCol w:w="1901"/>
        <w:gridCol w:w="1901"/>
        <w:gridCol w:w="1901"/>
        <w:gridCol w:w="1901"/>
        <w:gridCol w:w="1901"/>
      </w:tblGrid>
      <w:tr>
        <w:tc>
          <w:tcPr>
            <w:tcW w:type="dxa" w:w="2160"/>
            <w:shd w:val="clear" w:color="auto" w:fill="1F3A5F"/>
          </w:tcPr>
          <w:p>
            <w:pPr>
              <w:spacing w:after="20"/>
            </w:pPr>
            <w:r/>
            <w:r>
              <w:rPr>
                <w:b/>
                <w:color w:val="FFFFFF"/>
                <w:sz w:val="18"/>
              </w:rPr>
              <w:t>Group</w:t>
            </w:r>
          </w:p>
        </w:tc>
        <w:tc>
          <w:tcPr>
            <w:tcW w:type="dxa" w:w="1728"/>
            <w:shd w:val="clear" w:color="auto" w:fill="1F3A5F"/>
          </w:tcPr>
          <w:p>
            <w:pPr>
              <w:spacing w:after="20"/>
            </w:pPr>
            <w:r/>
            <w:r>
              <w:rPr>
                <w:b/>
                <w:color w:val="FFFFFF"/>
                <w:sz w:val="18"/>
              </w:rPr>
              <w:t>val pairs</w:t>
            </w:r>
          </w:p>
        </w:tc>
        <w:tc>
          <w:tcPr>
            <w:tcW w:type="dxa" w:w="1584"/>
            <w:shd w:val="clear" w:color="auto" w:fill="1F3A5F"/>
          </w:tcPr>
          <w:p>
            <w:pPr>
              <w:spacing w:after="20"/>
            </w:pPr>
            <w:r/>
            <w:r>
              <w:rPr>
                <w:b/>
                <w:color w:val="FFFFFF"/>
                <w:sz w:val="18"/>
              </w:rPr>
              <w:t>ECE</w:t>
            </w:r>
          </w:p>
        </w:tc>
        <w:tc>
          <w:tcPr>
            <w:tcW w:type="dxa" w:w="1584"/>
            <w:shd w:val="clear" w:color="auto" w:fill="1F3A5F"/>
          </w:tcPr>
          <w:p>
            <w:pPr>
              <w:spacing w:after="20"/>
            </w:pPr>
            <w:r/>
            <w:r>
              <w:rPr>
                <w:b/>
                <w:color w:val="FFFFFF"/>
                <w:sz w:val="18"/>
              </w:rPr>
              <w:t>Brier</w:t>
            </w:r>
          </w:p>
        </w:tc>
        <w:tc>
          <w:tcPr>
            <w:tcW w:type="dxa" w:w="1872"/>
            <w:shd w:val="clear" w:color="auto" w:fill="1F3A5F"/>
          </w:tcPr>
          <w:p>
            <w:pPr>
              <w:spacing w:after="20"/>
            </w:pPr>
            <w:r/>
            <w:r>
              <w:rPr>
                <w:b/>
                <w:color w:val="FFFFFF"/>
                <w:sz w:val="18"/>
              </w:rPr>
              <w:t>own isotonic curve</w:t>
            </w:r>
          </w:p>
        </w:tc>
      </w:tr>
      <w:tr>
        <w:tc>
          <w:tcPr>
            <w:tcW w:type="dxa" w:w="2160"/>
          </w:tcPr>
          <w:p>
            <w:pPr>
              <w:spacing w:after="20"/>
            </w:pPr>
            <w:r/>
            <w:r>
              <w:rPr>
                <w:sz w:val="18"/>
              </w:rPr>
              <w:t>overall (pooled)</w:t>
            </w:r>
          </w:p>
        </w:tc>
        <w:tc>
          <w:tcPr>
            <w:tcW w:type="dxa" w:w="1728"/>
          </w:tcPr>
          <w:p>
            <w:pPr>
              <w:spacing w:after="20"/>
            </w:pPr>
            <w:r/>
            <w:r>
              <w:rPr>
                <w:sz w:val="18"/>
              </w:rPr>
              <w:t>64,318</w:t>
            </w:r>
          </w:p>
        </w:tc>
        <w:tc>
          <w:tcPr>
            <w:tcW w:type="dxa" w:w="1584"/>
          </w:tcPr>
          <w:p>
            <w:pPr>
              <w:spacing w:after="20"/>
            </w:pPr>
            <w:r/>
            <w:r>
              <w:rPr>
                <w:sz w:val="18"/>
              </w:rPr>
              <w:t>0.00633</w:t>
            </w:r>
          </w:p>
        </w:tc>
        <w:tc>
          <w:tcPr>
            <w:tcW w:type="dxa" w:w="1584"/>
          </w:tcPr>
          <w:p>
            <w:pPr>
              <w:spacing w:after="20"/>
            </w:pPr>
            <w:r/>
            <w:r>
              <w:rPr>
                <w:sz w:val="18"/>
              </w:rPr>
              <w:t>0.00651</w:t>
            </w:r>
          </w:p>
        </w:tc>
        <w:tc>
          <w:tcPr>
            <w:tcW w:type="dxa" w:w="1872"/>
          </w:tcPr>
          <w:p>
            <w:pPr>
              <w:spacing w:after="20"/>
            </w:pPr>
            <w:r/>
            <w:r>
              <w:rPr>
                <w:sz w:val="18"/>
              </w:rPr>
              <w:t>no</w:t>
            </w:r>
          </w:p>
        </w:tc>
      </w:tr>
      <w:tr>
        <w:tc>
          <w:tcPr>
            <w:tcW w:type="dxa" w:w="2160"/>
            <w:shd w:val="clear" w:color="auto" w:fill="F5F7FA"/>
          </w:tcPr>
          <w:p>
            <w:pPr>
              <w:spacing w:after="20"/>
            </w:pPr>
            <w:r/>
            <w:r>
              <w:rPr>
                <w:sz w:val="18"/>
              </w:rPr>
              <w:t>India</w:t>
            </w:r>
          </w:p>
        </w:tc>
        <w:tc>
          <w:tcPr>
            <w:tcW w:type="dxa" w:w="1728"/>
            <w:shd w:val="clear" w:color="auto" w:fill="F5F7FA"/>
          </w:tcPr>
          <w:p>
            <w:pPr>
              <w:spacing w:after="20"/>
            </w:pPr>
            <w:r/>
            <w:r>
              <w:rPr>
                <w:sz w:val="18"/>
              </w:rPr>
              <w:t>32,655</w:t>
            </w:r>
          </w:p>
        </w:tc>
        <w:tc>
          <w:tcPr>
            <w:tcW w:type="dxa" w:w="1584"/>
            <w:shd w:val="clear" w:color="auto" w:fill="F5F7FA"/>
          </w:tcPr>
          <w:p>
            <w:pPr>
              <w:spacing w:after="20"/>
            </w:pPr>
            <w:r/>
            <w:r>
              <w:rPr>
                <w:sz w:val="18"/>
              </w:rPr>
              <w:t>0.00643</w:t>
            </w:r>
          </w:p>
        </w:tc>
        <w:tc>
          <w:tcPr>
            <w:tcW w:type="dxa" w:w="1584"/>
            <w:shd w:val="clear" w:color="auto" w:fill="F5F7FA"/>
          </w:tcPr>
          <w:p>
            <w:pPr>
              <w:spacing w:after="20"/>
            </w:pPr>
            <w:r/>
            <w:r>
              <w:rPr>
                <w:sz w:val="18"/>
              </w:rPr>
              <w:t>0.00654</w:t>
            </w:r>
          </w:p>
        </w:tc>
        <w:tc>
          <w:tcPr>
            <w:tcW w:type="dxa" w:w="1872"/>
            <w:shd w:val="clear" w:color="auto" w:fill="F5F7FA"/>
          </w:tcPr>
          <w:p>
            <w:pPr>
              <w:spacing w:after="20"/>
            </w:pPr>
            <w:r/>
            <w:r>
              <w:rPr>
                <w:sz w:val="18"/>
              </w:rPr>
              <w:t>yes</w:t>
            </w:r>
          </w:p>
        </w:tc>
      </w:tr>
      <w:tr>
        <w:tc>
          <w:tcPr>
            <w:tcW w:type="dxa" w:w="2160"/>
          </w:tcPr>
          <w:p>
            <w:pPr>
              <w:spacing w:after="20"/>
            </w:pPr>
            <w:r/>
            <w:r>
              <w:rPr>
                <w:sz w:val="18"/>
              </w:rPr>
              <w:t>US</w:t>
            </w:r>
          </w:p>
        </w:tc>
        <w:tc>
          <w:tcPr>
            <w:tcW w:type="dxa" w:w="1728"/>
          </w:tcPr>
          <w:p>
            <w:pPr>
              <w:spacing w:after="20"/>
            </w:pPr>
            <w:r/>
            <w:r>
              <w:rPr>
                <w:sz w:val="18"/>
              </w:rPr>
              <w:t>31,663</w:t>
            </w:r>
          </w:p>
        </w:tc>
        <w:tc>
          <w:tcPr>
            <w:tcW w:type="dxa" w:w="1584"/>
          </w:tcPr>
          <w:p>
            <w:pPr>
              <w:spacing w:after="20"/>
            </w:pPr>
            <w:r/>
            <w:r>
              <w:rPr>
                <w:sz w:val="18"/>
              </w:rPr>
              <w:t>0.00634</w:t>
            </w:r>
          </w:p>
        </w:tc>
        <w:tc>
          <w:tcPr>
            <w:tcW w:type="dxa" w:w="1584"/>
          </w:tcPr>
          <w:p>
            <w:pPr>
              <w:spacing w:after="20"/>
            </w:pPr>
            <w:r/>
            <w:r>
              <w:rPr>
                <w:sz w:val="18"/>
              </w:rPr>
              <w:t>0.00648</w:t>
            </w:r>
          </w:p>
        </w:tc>
        <w:tc>
          <w:tcPr>
            <w:tcW w:type="dxa" w:w="1872"/>
          </w:tcPr>
          <w:p>
            <w:pPr>
              <w:spacing w:after="20"/>
            </w:pPr>
            <w:r/>
            <w:r>
              <w:rPr>
                <w:sz w:val="18"/>
              </w:rPr>
              <w:t>yes</w:t>
            </w:r>
          </w:p>
        </w:tc>
      </w:tr>
    </w:tbl>
    <w:p>
      <w:pPr>
        <w:spacing w:after="0"/>
      </w:pPr>
    </w:p>
    <w:p>
      <w:pPr>
        <w:spacing w:before="40" w:after="240"/>
      </w:pPr>
      <w:r>
        <w:rPr>
          <w:i/>
          <w:color w:val="606060"/>
          <w:sz w:val="17"/>
        </w:rPr>
        <w:t>Per-country isotonic regression on held-out validation. ECE below 0.007 everywhere.</w:t>
      </w:r>
    </w:p>
    <w:p>
      <w:r>
        <w:rPr>
          <w:b w:val="0"/>
          <w:i w:val="0"/>
        </w:rPr>
        <w:t>The reliability profile confirms the bimodality: the two extreme bins hold almost all the mass and are well calibrated, while the middle bins are thin and noisy.</w:t>
      </w:r>
    </w:p>
    <w:tbl>
      <w:tblPr>
        <w:tblStyle w:val="TableGrid"/>
        <w:tblW w:type="auto" w:w="0"/>
        <w:jc w:val="center"/>
        <w:tblLayout w:type="autofit"/>
        <w:tblLook w:firstColumn="1" w:firstRow="1" w:lastColumn="0" w:lastRow="0" w:noHBand="0" w:noVBand="1" w:val="04A0"/>
      </w:tblPr>
      <w:tblGrid>
        <w:gridCol w:w="1901"/>
        <w:gridCol w:w="1901"/>
        <w:gridCol w:w="1901"/>
        <w:gridCol w:w="1901"/>
        <w:gridCol w:w="1901"/>
      </w:tblGrid>
      <w:tr>
        <w:tc>
          <w:tcPr>
            <w:tcW w:type="dxa" w:w="2448"/>
            <w:shd w:val="clear" w:color="auto" w:fill="1F3A5F"/>
          </w:tcPr>
          <w:p>
            <w:pPr>
              <w:spacing w:after="20"/>
            </w:pPr>
            <w:r/>
            <w:r>
              <w:rPr>
                <w:b/>
                <w:color w:val="FFFFFF"/>
                <w:sz w:val="18"/>
              </w:rPr>
              <w:t>Reliability bin</w:t>
            </w:r>
          </w:p>
        </w:tc>
        <w:tc>
          <w:tcPr>
            <w:tcW w:type="dxa" w:w="1584"/>
            <w:shd w:val="clear" w:color="auto" w:fill="1F3A5F"/>
          </w:tcPr>
          <w:p>
            <w:pPr>
              <w:spacing w:after="20"/>
            </w:pPr>
            <w:r/>
            <w:r>
              <w:rPr>
                <w:b/>
                <w:color w:val="FFFFFF"/>
                <w:sz w:val="18"/>
              </w:rPr>
              <w:t>predicted p</w:t>
            </w:r>
          </w:p>
        </w:tc>
        <w:tc>
          <w:tcPr>
            <w:tcW w:type="dxa" w:w="1728"/>
            <w:shd w:val="clear" w:color="auto" w:fill="1F3A5F"/>
          </w:tcPr>
          <w:p>
            <w:pPr>
              <w:spacing w:after="20"/>
            </w:pPr>
            <w:r/>
            <w:r>
              <w:rPr>
                <w:b/>
                <w:color w:val="FFFFFF"/>
                <w:sz w:val="18"/>
              </w:rPr>
              <w:t>observed rate</w:t>
            </w:r>
          </w:p>
        </w:tc>
        <w:tc>
          <w:tcPr>
            <w:tcW w:type="dxa" w:w="1440"/>
            <w:shd w:val="clear" w:color="auto" w:fill="1F3A5F"/>
          </w:tcPr>
          <w:p>
            <w:pPr>
              <w:spacing w:after="20"/>
            </w:pPr>
            <w:r/>
            <w:r>
              <w:rPr>
                <w:b/>
                <w:color w:val="FFFFFF"/>
                <w:sz w:val="18"/>
              </w:rPr>
              <w:t>pairs</w:t>
            </w:r>
          </w:p>
        </w:tc>
        <w:tc>
          <w:tcPr>
            <w:tcW w:type="dxa" w:w="1728"/>
            <w:shd w:val="clear" w:color="auto" w:fill="1F3A5F"/>
          </w:tcPr>
          <w:p>
            <w:pPr>
              <w:spacing w:after="20"/>
            </w:pPr>
            <w:r/>
            <w:r>
              <w:rPr>
                <w:b/>
                <w:color w:val="FFFFFF"/>
                <w:sz w:val="18"/>
              </w:rPr>
              <w:t>share of val pairs</w:t>
            </w:r>
          </w:p>
        </w:tc>
      </w:tr>
      <w:tr>
        <w:tc>
          <w:tcPr>
            <w:tcW w:type="dxa" w:w="2448"/>
          </w:tcPr>
          <w:p>
            <w:pPr>
              <w:spacing w:after="20"/>
            </w:pPr>
            <w:r/>
            <w:r>
              <w:rPr>
                <w:sz w:val="18"/>
              </w:rPr>
              <w:t>lowest bin</w:t>
            </w:r>
          </w:p>
        </w:tc>
        <w:tc>
          <w:tcPr>
            <w:tcW w:type="dxa" w:w="1584"/>
          </w:tcPr>
          <w:p>
            <w:pPr>
              <w:spacing w:after="20"/>
            </w:pPr>
            <w:r/>
            <w:r>
              <w:rPr>
                <w:sz w:val="18"/>
              </w:rPr>
              <w:t>0.00001</w:t>
            </w:r>
          </w:p>
        </w:tc>
        <w:tc>
          <w:tcPr>
            <w:tcW w:type="dxa" w:w="1728"/>
          </w:tcPr>
          <w:p>
            <w:pPr>
              <w:spacing w:after="20"/>
            </w:pPr>
            <w:r/>
            <w:r>
              <w:rPr>
                <w:sz w:val="18"/>
              </w:rPr>
              <w:t>0.00291</w:t>
            </w:r>
          </w:p>
        </w:tc>
        <w:tc>
          <w:tcPr>
            <w:tcW w:type="dxa" w:w="1440"/>
          </w:tcPr>
          <w:p>
            <w:pPr>
              <w:spacing w:after="20"/>
            </w:pPr>
            <w:r/>
            <w:r>
              <w:rPr>
                <w:sz w:val="18"/>
              </w:rPr>
              <w:t>58,149</w:t>
            </w:r>
          </w:p>
        </w:tc>
        <w:tc>
          <w:tcPr>
            <w:tcW w:type="dxa" w:w="1728"/>
          </w:tcPr>
          <w:p>
            <w:pPr>
              <w:spacing w:after="20"/>
            </w:pPr>
            <w:r/>
            <w:r>
              <w:rPr>
                <w:sz w:val="18"/>
              </w:rPr>
              <w:t>90.41%</w:t>
            </w:r>
          </w:p>
        </w:tc>
      </w:tr>
      <w:tr>
        <w:tc>
          <w:tcPr>
            <w:tcW w:type="dxa" w:w="2448"/>
            <w:shd w:val="clear" w:color="auto" w:fill="F5F7FA"/>
          </w:tcPr>
          <w:p>
            <w:pPr>
              <w:spacing w:after="20"/>
            </w:pPr>
            <w:r/>
            <w:r>
              <w:rPr>
                <w:sz w:val="18"/>
              </w:rPr>
              <w:t>all middle bins combined</w:t>
            </w:r>
          </w:p>
        </w:tc>
        <w:tc>
          <w:tcPr>
            <w:tcW w:type="dxa" w:w="1584"/>
            <w:shd w:val="clear" w:color="auto" w:fill="F5F7FA"/>
          </w:tcPr>
          <w:p>
            <w:pPr>
              <w:spacing w:after="20"/>
            </w:pPr>
            <w:r/>
            <w:r>
              <w:rPr>
                <w:sz w:val="18"/>
              </w:rPr>
              <w:t>0.09 - 0.89</w:t>
            </w:r>
          </w:p>
        </w:tc>
        <w:tc>
          <w:tcPr>
            <w:tcW w:type="dxa" w:w="1728"/>
            <w:shd w:val="clear" w:color="auto" w:fill="F5F7FA"/>
          </w:tcPr>
          <w:p>
            <w:pPr>
              <w:spacing w:after="20"/>
            </w:pPr>
            <w:r/>
            <w:r>
              <w:rPr>
                <w:sz w:val="18"/>
              </w:rPr>
              <w:t>noisy, 0.38 - 1.00</w:t>
            </w:r>
          </w:p>
        </w:tc>
        <w:tc>
          <w:tcPr>
            <w:tcW w:type="dxa" w:w="1440"/>
            <w:shd w:val="clear" w:color="auto" w:fill="F5F7FA"/>
          </w:tcPr>
          <w:p>
            <w:pPr>
              <w:spacing w:after="20"/>
            </w:pPr>
            <w:r/>
            <w:r>
              <w:rPr>
                <w:sz w:val="18"/>
              </w:rPr>
              <w:t>170</w:t>
            </w:r>
          </w:p>
        </w:tc>
        <w:tc>
          <w:tcPr>
            <w:tcW w:type="dxa" w:w="1728"/>
            <w:shd w:val="clear" w:color="auto" w:fill="F5F7FA"/>
          </w:tcPr>
          <w:p>
            <w:pPr>
              <w:spacing w:after="20"/>
            </w:pPr>
            <w:r/>
            <w:r>
              <w:rPr>
                <w:sz w:val="18"/>
              </w:rPr>
              <w:t>0.26%</w:t>
            </w:r>
          </w:p>
        </w:tc>
      </w:tr>
      <w:tr>
        <w:tc>
          <w:tcPr>
            <w:tcW w:type="dxa" w:w="2448"/>
          </w:tcPr>
          <w:p>
            <w:pPr>
              <w:spacing w:after="20"/>
            </w:pPr>
            <w:r/>
            <w:r>
              <w:rPr>
                <w:sz w:val="18"/>
              </w:rPr>
              <w:t>highest bin</w:t>
            </w:r>
          </w:p>
        </w:tc>
        <w:tc>
          <w:tcPr>
            <w:tcW w:type="dxa" w:w="1584"/>
          </w:tcPr>
          <w:p>
            <w:pPr>
              <w:spacing w:after="20"/>
            </w:pPr>
            <w:r/>
            <w:r>
              <w:rPr>
                <w:sz w:val="18"/>
              </w:rPr>
              <w:t>0.99984</w:t>
            </w:r>
          </w:p>
        </w:tc>
        <w:tc>
          <w:tcPr>
            <w:tcW w:type="dxa" w:w="1728"/>
          </w:tcPr>
          <w:p>
            <w:pPr>
              <w:spacing w:after="20"/>
            </w:pPr>
            <w:r/>
            <w:r>
              <w:rPr>
                <w:sz w:val="18"/>
              </w:rPr>
              <w:t>0.96599</w:t>
            </w:r>
          </w:p>
        </w:tc>
        <w:tc>
          <w:tcPr>
            <w:tcW w:type="dxa" w:w="1440"/>
          </w:tcPr>
          <w:p>
            <w:pPr>
              <w:spacing w:after="20"/>
            </w:pPr>
            <w:r/>
            <w:r>
              <w:rPr>
                <w:sz w:val="18"/>
              </w:rPr>
              <w:t>5,999</w:t>
            </w:r>
          </w:p>
        </w:tc>
        <w:tc>
          <w:tcPr>
            <w:tcW w:type="dxa" w:w="1728"/>
          </w:tcPr>
          <w:p>
            <w:pPr>
              <w:spacing w:after="20"/>
            </w:pPr>
            <w:r/>
            <w:r>
              <w:rPr>
                <w:sz w:val="18"/>
              </w:rPr>
              <w:t>9.33%</w:t>
            </w:r>
          </w:p>
        </w:tc>
      </w:tr>
    </w:tbl>
    <w:p>
      <w:pPr>
        <w:spacing w:after="0"/>
      </w:pPr>
    </w:p>
    <w:p>
      <w:pPr>
        <w:spacing w:before="40" w:after="240"/>
      </w:pPr>
      <w:r>
        <w:rPr>
          <w:i/>
          <w:color w:val="606060"/>
          <w:sz w:val="17"/>
        </w:rPr>
        <w:t>Overall reliability curve, 64,318 validation pairs. Only 0.26% of pairs sit between 0.09 and 0.89 - this is the structural reason the decision layer and a tuned threshold almost agree on this data.</w:t>
      </w:r>
    </w:p>
    <w:p>
      <w:r>
        <w:rPr>
          <w:b/>
          <w:i w:val="0"/>
        </w:rPr>
        <w:t xml:space="preserve">France is the open item. </w:t>
      </w:r>
      <w:r>
        <w:rPr>
          <w:b w:val="0"/>
          <w:i w:val="0"/>
        </w:rPr>
        <w:t>Both calibrated groups here are US and India. No France calibration curve can be validated against labels, by construction. The Stage I synthetic curve is the mitigation and the honest statement is that its quality is unverified; the recommended proxy experiment is in 3.8.</w:t>
      </w:r>
    </w:p>
    <w:p>
      <w:pPr>
        <w:pStyle w:val="Heading2"/>
      </w:pPr>
      <w:r>
        <w:t>3.5  Decision layer - rule comparison</w:t>
      </w:r>
    </w:p>
    <w:tbl>
      <w:tblPr>
        <w:tblStyle w:val="TableGrid"/>
        <w:tblW w:type="auto" w:w="0"/>
        <w:jc w:val="center"/>
        <w:tblLayout w:type="autofit"/>
        <w:tblLook w:firstColumn="1" w:firstRow="1" w:lastColumn="0" w:lastRow="0" w:noHBand="0" w:noVBand="1" w:val="04A0"/>
      </w:tblPr>
      <w:tblGrid>
        <w:gridCol w:w="1358"/>
        <w:gridCol w:w="1358"/>
        <w:gridCol w:w="1358"/>
        <w:gridCol w:w="1358"/>
        <w:gridCol w:w="1358"/>
        <w:gridCol w:w="1358"/>
        <w:gridCol w:w="1358"/>
      </w:tblGrid>
      <w:tr>
        <w:tc>
          <w:tcPr>
            <w:tcW w:type="dxa" w:w="2160"/>
            <w:shd w:val="clear" w:color="auto" w:fill="1F3A5F"/>
          </w:tcPr>
          <w:p>
            <w:pPr>
              <w:spacing w:after="20"/>
            </w:pPr>
            <w:r/>
            <w:r>
              <w:rPr>
                <w:b/>
                <w:color w:val="FFFFFF"/>
                <w:sz w:val="18"/>
              </w:rPr>
              <w:t>Decision rule</w:t>
            </w:r>
          </w:p>
        </w:tc>
        <w:tc>
          <w:tcPr>
            <w:tcW w:type="dxa" w:w="1440"/>
            <w:shd w:val="clear" w:color="auto" w:fill="1F3A5F"/>
          </w:tcPr>
          <w:p>
            <w:pPr>
              <w:spacing w:after="20"/>
            </w:pPr>
            <w:r/>
            <w:r>
              <w:rPr>
                <w:b/>
                <w:color w:val="FFFFFF"/>
                <w:sz w:val="18"/>
              </w:rPr>
              <w:t>val macro F0.5</w:t>
            </w:r>
          </w:p>
        </w:tc>
        <w:tc>
          <w:tcPr>
            <w:tcW w:type="dxa" w:w="1080"/>
            <w:shd w:val="clear" w:color="auto" w:fill="1F3A5F"/>
          </w:tcPr>
          <w:p>
            <w:pPr>
              <w:spacing w:after="20"/>
            </w:pPr>
            <w:r/>
            <w:r>
              <w:rPr>
                <w:b/>
                <w:color w:val="FFFFFF"/>
                <w:sz w:val="18"/>
              </w:rPr>
              <w:t>macro P</w:t>
            </w:r>
          </w:p>
        </w:tc>
        <w:tc>
          <w:tcPr>
            <w:tcW w:type="dxa" w:w="1080"/>
            <w:shd w:val="clear" w:color="auto" w:fill="1F3A5F"/>
          </w:tcPr>
          <w:p>
            <w:pPr>
              <w:spacing w:after="20"/>
            </w:pPr>
            <w:r/>
            <w:r>
              <w:rPr>
                <w:b/>
                <w:color w:val="FFFFFF"/>
                <w:sz w:val="18"/>
              </w:rPr>
              <w:t>macro R</w:t>
            </w:r>
          </w:p>
        </w:tc>
        <w:tc>
          <w:tcPr>
            <w:tcW w:type="dxa" w:w="864"/>
            <w:shd w:val="clear" w:color="auto" w:fill="1F3A5F"/>
          </w:tcPr>
          <w:p>
            <w:pPr>
              <w:spacing w:after="20"/>
            </w:pPr>
            <w:r/>
            <w:r>
              <w:rPr>
                <w:b/>
                <w:color w:val="FFFFFF"/>
                <w:sz w:val="18"/>
              </w:rPr>
              <w:t>mean k</w:t>
            </w:r>
          </w:p>
        </w:tc>
        <w:tc>
          <w:tcPr>
            <w:tcW w:type="dxa" w:w="1440"/>
            <w:shd w:val="clear" w:color="auto" w:fill="1F3A5F"/>
          </w:tcPr>
          <w:p>
            <w:pPr>
              <w:spacing w:after="20"/>
            </w:pPr>
            <w:r/>
            <w:r>
              <w:rPr>
                <w:b/>
                <w:color w:val="FFFFFF"/>
                <w:sz w:val="18"/>
              </w:rPr>
              <w:t>exact-set entities</w:t>
            </w:r>
          </w:p>
        </w:tc>
        <w:tc>
          <w:tcPr>
            <w:tcW w:type="dxa" w:w="1440"/>
            <w:shd w:val="clear" w:color="auto" w:fill="1F3A5F"/>
          </w:tcPr>
          <w:p>
            <w:pPr>
              <w:spacing w:after="20"/>
            </w:pPr>
            <w:r/>
            <w:r>
              <w:rPr>
                <w:b/>
                <w:color w:val="FFFFFF"/>
                <w:sz w:val="18"/>
              </w:rPr>
              <w:t>train macro F0.5</w:t>
            </w:r>
          </w:p>
        </w:tc>
      </w:tr>
      <w:tr>
        <w:tc>
          <w:tcPr>
            <w:tcW w:type="dxa" w:w="2160"/>
          </w:tcPr>
          <w:p>
            <w:pPr>
              <w:spacing w:after="20"/>
            </w:pPr>
            <w:r/>
            <w:r>
              <w:rPr>
                <w:sz w:val="18"/>
              </w:rPr>
              <w:t>expected_f</w:t>
            </w:r>
          </w:p>
        </w:tc>
        <w:tc>
          <w:tcPr>
            <w:tcW w:type="dxa" w:w="1440"/>
          </w:tcPr>
          <w:p>
            <w:pPr>
              <w:spacing w:after="20"/>
            </w:pPr>
            <w:r/>
            <w:r>
              <w:rPr>
                <w:sz w:val="18"/>
              </w:rPr>
              <w:t>0.89520</w:t>
            </w:r>
          </w:p>
        </w:tc>
        <w:tc>
          <w:tcPr>
            <w:tcW w:type="dxa" w:w="1080"/>
          </w:tcPr>
          <w:p>
            <w:pPr>
              <w:spacing w:after="20"/>
            </w:pPr>
            <w:r/>
            <w:r>
              <w:rPr>
                <w:sz w:val="18"/>
              </w:rPr>
              <w:t>0.9347</w:t>
            </w:r>
          </w:p>
        </w:tc>
        <w:tc>
          <w:tcPr>
            <w:tcW w:type="dxa" w:w="1080"/>
          </w:tcPr>
          <w:p>
            <w:pPr>
              <w:spacing w:after="20"/>
            </w:pPr>
            <w:r/>
            <w:r>
              <w:rPr>
                <w:sz w:val="18"/>
              </w:rPr>
              <w:t>0.8242</w:t>
            </w:r>
          </w:p>
        </w:tc>
        <w:tc>
          <w:tcPr>
            <w:tcW w:type="dxa" w:w="864"/>
          </w:tcPr>
          <w:p>
            <w:pPr>
              <w:spacing w:after="20"/>
            </w:pPr>
            <w:r/>
            <w:r>
              <w:rPr>
                <w:sz w:val="18"/>
              </w:rPr>
              <w:t>2.95</w:t>
            </w:r>
          </w:p>
        </w:tc>
        <w:tc>
          <w:tcPr>
            <w:tcW w:type="dxa" w:w="1440"/>
          </w:tcPr>
          <w:p>
            <w:pPr>
              <w:spacing w:after="20"/>
            </w:pPr>
            <w:r/>
            <w:r>
              <w:rPr>
                <w:sz w:val="18"/>
              </w:rPr>
              <w:t>1,099</w:t>
            </w:r>
          </w:p>
        </w:tc>
        <w:tc>
          <w:tcPr>
            <w:tcW w:type="dxa" w:w="1440"/>
          </w:tcPr>
          <w:p>
            <w:pPr>
              <w:spacing w:after="20"/>
            </w:pPr>
            <w:r/>
            <w:r>
              <w:rPr>
                <w:sz w:val="18"/>
              </w:rPr>
              <w:t>0.93264</w:t>
            </w:r>
          </w:p>
        </w:tc>
      </w:tr>
      <w:tr>
        <w:tc>
          <w:tcPr>
            <w:tcW w:type="dxa" w:w="2160"/>
            <w:shd w:val="clear" w:color="auto" w:fill="E8F0DC"/>
          </w:tcPr>
          <w:p>
            <w:pPr>
              <w:spacing w:after="20"/>
            </w:pPr>
            <w:r/>
            <w:r>
              <w:rPr>
                <w:b/>
                <w:sz w:val="18"/>
              </w:rPr>
              <w:t>expected_f_no_miss</w:t>
            </w:r>
          </w:p>
        </w:tc>
        <w:tc>
          <w:tcPr>
            <w:tcW w:type="dxa" w:w="1440"/>
            <w:shd w:val="clear" w:color="auto" w:fill="E8F0DC"/>
          </w:tcPr>
          <w:p>
            <w:pPr>
              <w:spacing w:after="20"/>
            </w:pPr>
            <w:r/>
            <w:r>
              <w:rPr>
                <w:b/>
                <w:sz w:val="18"/>
              </w:rPr>
              <w:t>0.89522</w:t>
            </w:r>
          </w:p>
        </w:tc>
        <w:tc>
          <w:tcPr>
            <w:tcW w:type="dxa" w:w="1080"/>
            <w:shd w:val="clear" w:color="auto" w:fill="E8F0DC"/>
          </w:tcPr>
          <w:p>
            <w:pPr>
              <w:spacing w:after="20"/>
            </w:pPr>
            <w:r/>
            <w:r>
              <w:rPr>
                <w:b/>
                <w:sz w:val="18"/>
              </w:rPr>
              <w:t>0.9351</w:t>
            </w:r>
          </w:p>
        </w:tc>
        <w:tc>
          <w:tcPr>
            <w:tcW w:type="dxa" w:w="1080"/>
            <w:shd w:val="clear" w:color="auto" w:fill="E8F0DC"/>
          </w:tcPr>
          <w:p>
            <w:pPr>
              <w:spacing w:after="20"/>
            </w:pPr>
            <w:r/>
            <w:r>
              <w:rPr>
                <w:b/>
                <w:sz w:val="18"/>
              </w:rPr>
              <w:t>0.8233</w:t>
            </w:r>
          </w:p>
        </w:tc>
        <w:tc>
          <w:tcPr>
            <w:tcW w:type="dxa" w:w="864"/>
            <w:shd w:val="clear" w:color="auto" w:fill="E8F0DC"/>
          </w:tcPr>
          <w:p>
            <w:pPr>
              <w:spacing w:after="20"/>
            </w:pPr>
            <w:r/>
            <w:r>
              <w:rPr>
                <w:b/>
                <w:sz w:val="18"/>
              </w:rPr>
              <w:t>2.95</w:t>
            </w:r>
          </w:p>
        </w:tc>
        <w:tc>
          <w:tcPr>
            <w:tcW w:type="dxa" w:w="1440"/>
            <w:shd w:val="clear" w:color="auto" w:fill="E8F0DC"/>
          </w:tcPr>
          <w:p>
            <w:pPr>
              <w:spacing w:after="20"/>
            </w:pPr>
            <w:r/>
            <w:r>
              <w:rPr>
                <w:b/>
                <w:sz w:val="18"/>
              </w:rPr>
              <w:t>1,096</w:t>
            </w:r>
          </w:p>
        </w:tc>
        <w:tc>
          <w:tcPr>
            <w:tcW w:type="dxa" w:w="1440"/>
            <w:shd w:val="clear" w:color="auto" w:fill="E8F0DC"/>
          </w:tcPr>
          <w:p>
            <w:pPr>
              <w:spacing w:after="20"/>
            </w:pPr>
            <w:r/>
            <w:r>
              <w:rPr>
                <w:b/>
                <w:sz w:val="18"/>
              </w:rPr>
              <w:t>0.93264</w:t>
            </w:r>
          </w:p>
        </w:tc>
      </w:tr>
      <w:tr>
        <w:tc>
          <w:tcPr>
            <w:tcW w:type="dxa" w:w="2160"/>
          </w:tcPr>
          <w:p>
            <w:pPr>
              <w:spacing w:after="20"/>
            </w:pPr>
            <w:r/>
            <w:r>
              <w:rPr>
                <w:sz w:val="18"/>
              </w:rPr>
              <w:t>expected_f_no_repair</w:t>
            </w:r>
          </w:p>
        </w:tc>
        <w:tc>
          <w:tcPr>
            <w:tcW w:type="dxa" w:w="1440"/>
          </w:tcPr>
          <w:p>
            <w:pPr>
              <w:spacing w:after="20"/>
            </w:pPr>
            <w:r/>
            <w:r>
              <w:rPr>
                <w:sz w:val="18"/>
              </w:rPr>
              <w:t>0.89520</w:t>
            </w:r>
          </w:p>
        </w:tc>
        <w:tc>
          <w:tcPr>
            <w:tcW w:type="dxa" w:w="1080"/>
          </w:tcPr>
          <w:p>
            <w:pPr>
              <w:spacing w:after="20"/>
            </w:pPr>
            <w:r/>
            <w:r>
              <w:rPr>
                <w:sz w:val="18"/>
              </w:rPr>
              <w:t>0.9347</w:t>
            </w:r>
          </w:p>
        </w:tc>
        <w:tc>
          <w:tcPr>
            <w:tcW w:type="dxa" w:w="1080"/>
          </w:tcPr>
          <w:p>
            <w:pPr>
              <w:spacing w:after="20"/>
            </w:pPr>
            <w:r/>
            <w:r>
              <w:rPr>
                <w:sz w:val="18"/>
              </w:rPr>
              <w:t>0.8242</w:t>
            </w:r>
          </w:p>
        </w:tc>
        <w:tc>
          <w:tcPr>
            <w:tcW w:type="dxa" w:w="864"/>
          </w:tcPr>
          <w:p>
            <w:pPr>
              <w:spacing w:after="20"/>
            </w:pPr>
            <w:r/>
            <w:r>
              <w:rPr>
                <w:sz w:val="18"/>
              </w:rPr>
              <w:t>2.95</w:t>
            </w:r>
          </w:p>
        </w:tc>
        <w:tc>
          <w:tcPr>
            <w:tcW w:type="dxa" w:w="1440"/>
          </w:tcPr>
          <w:p>
            <w:pPr>
              <w:spacing w:after="20"/>
            </w:pPr>
            <w:r/>
            <w:r>
              <w:rPr>
                <w:sz w:val="18"/>
              </w:rPr>
              <w:t>1,099</w:t>
            </w:r>
          </w:p>
        </w:tc>
        <w:tc>
          <w:tcPr>
            <w:tcW w:type="dxa" w:w="1440"/>
          </w:tcPr>
          <w:p>
            <w:pPr>
              <w:spacing w:after="20"/>
            </w:pPr>
            <w:r/>
            <w:r>
              <w:rPr>
                <w:sz w:val="18"/>
              </w:rPr>
              <w:t>0.93264</w:t>
            </w:r>
          </w:p>
        </w:tc>
      </w:tr>
      <w:tr>
        <w:tc>
          <w:tcPr>
            <w:tcW w:type="dxa" w:w="2160"/>
            <w:shd w:val="clear" w:color="auto" w:fill="F5F7FA"/>
          </w:tcPr>
          <w:p>
            <w:pPr>
              <w:spacing w:after="20"/>
            </w:pPr>
            <w:r/>
            <w:r>
              <w:rPr>
                <w:sz w:val="18"/>
              </w:rPr>
              <w:t>threshold@0.3</w:t>
            </w:r>
          </w:p>
        </w:tc>
        <w:tc>
          <w:tcPr>
            <w:tcW w:type="dxa" w:w="1440"/>
            <w:shd w:val="clear" w:color="auto" w:fill="F5F7FA"/>
          </w:tcPr>
          <w:p>
            <w:pPr>
              <w:spacing w:after="20"/>
            </w:pPr>
            <w:r/>
            <w:r>
              <w:rPr>
                <w:sz w:val="18"/>
              </w:rPr>
              <w:t>0.89411</w:t>
            </w:r>
          </w:p>
        </w:tc>
        <w:tc>
          <w:tcPr>
            <w:tcW w:type="dxa" w:w="1080"/>
            <w:shd w:val="clear" w:color="auto" w:fill="F5F7FA"/>
          </w:tcPr>
          <w:p>
            <w:pPr>
              <w:spacing w:after="20"/>
            </w:pPr>
            <w:r/>
            <w:r>
              <w:rPr>
                <w:sz w:val="18"/>
              </w:rPr>
              <w:t>0.9316</w:t>
            </w:r>
          </w:p>
        </w:tc>
        <w:tc>
          <w:tcPr>
            <w:tcW w:type="dxa" w:w="1080"/>
            <w:shd w:val="clear" w:color="auto" w:fill="F5F7FA"/>
          </w:tcPr>
          <w:p>
            <w:pPr>
              <w:spacing w:after="20"/>
            </w:pPr>
            <w:r/>
            <w:r>
              <w:rPr>
                <w:sz w:val="18"/>
              </w:rPr>
              <w:t>0.8285</w:t>
            </w:r>
          </w:p>
        </w:tc>
        <w:tc>
          <w:tcPr>
            <w:tcW w:type="dxa" w:w="864"/>
            <w:shd w:val="clear" w:color="auto" w:fill="F5F7FA"/>
          </w:tcPr>
          <w:p>
            <w:pPr>
              <w:spacing w:after="20"/>
            </w:pPr>
            <w:r/>
            <w:r>
              <w:rPr>
                <w:sz w:val="18"/>
              </w:rPr>
              <w:t>2.98</w:t>
            </w:r>
          </w:p>
        </w:tc>
        <w:tc>
          <w:tcPr>
            <w:tcW w:type="dxa" w:w="1440"/>
            <w:shd w:val="clear" w:color="auto" w:fill="F5F7FA"/>
          </w:tcPr>
          <w:p>
            <w:pPr>
              <w:spacing w:after="20"/>
            </w:pPr>
            <w:r/>
            <w:r>
              <w:rPr>
                <w:sz w:val="18"/>
              </w:rPr>
              <w:t>1,106</w:t>
            </w:r>
          </w:p>
        </w:tc>
        <w:tc>
          <w:tcPr>
            <w:tcW w:type="dxa" w:w="1440"/>
            <w:shd w:val="clear" w:color="auto" w:fill="F5F7FA"/>
          </w:tcPr>
          <w:p>
            <w:pPr>
              <w:spacing w:after="20"/>
            </w:pPr>
            <w:r/>
            <w:r>
              <w:rPr>
                <w:sz w:val="18"/>
              </w:rPr>
              <w:t>0.93264</w:t>
            </w:r>
          </w:p>
        </w:tc>
      </w:tr>
      <w:tr>
        <w:tc>
          <w:tcPr>
            <w:tcW w:type="dxa" w:w="2160"/>
          </w:tcPr>
          <w:p>
            <w:pPr>
              <w:spacing w:after="20"/>
            </w:pPr>
            <w:r/>
            <w:r>
              <w:rPr>
                <w:sz w:val="18"/>
              </w:rPr>
              <w:t>threshold@0.4</w:t>
            </w:r>
          </w:p>
        </w:tc>
        <w:tc>
          <w:tcPr>
            <w:tcW w:type="dxa" w:w="1440"/>
          </w:tcPr>
          <w:p>
            <w:pPr>
              <w:spacing w:after="20"/>
            </w:pPr>
            <w:r/>
            <w:r>
              <w:rPr>
                <w:sz w:val="18"/>
              </w:rPr>
              <w:t>0.89448</w:t>
            </w:r>
          </w:p>
        </w:tc>
        <w:tc>
          <w:tcPr>
            <w:tcW w:type="dxa" w:w="1080"/>
          </w:tcPr>
          <w:p>
            <w:pPr>
              <w:spacing w:after="20"/>
            </w:pPr>
            <w:r/>
            <w:r>
              <w:rPr>
                <w:sz w:val="18"/>
              </w:rPr>
              <w:t>0.9326</w:t>
            </w:r>
          </w:p>
        </w:tc>
        <w:tc>
          <w:tcPr>
            <w:tcW w:type="dxa" w:w="1080"/>
          </w:tcPr>
          <w:p>
            <w:pPr>
              <w:spacing w:after="20"/>
            </w:pPr>
            <w:r/>
            <w:r>
              <w:rPr>
                <w:sz w:val="18"/>
              </w:rPr>
              <w:t>0.8271</w:t>
            </w:r>
          </w:p>
        </w:tc>
        <w:tc>
          <w:tcPr>
            <w:tcW w:type="dxa" w:w="864"/>
          </w:tcPr>
          <w:p>
            <w:pPr>
              <w:spacing w:after="20"/>
            </w:pPr>
            <w:r/>
            <w:r>
              <w:rPr>
                <w:sz w:val="18"/>
              </w:rPr>
              <w:t>2.97</w:t>
            </w:r>
          </w:p>
        </w:tc>
        <w:tc>
          <w:tcPr>
            <w:tcW w:type="dxa" w:w="1440"/>
          </w:tcPr>
          <w:p>
            <w:pPr>
              <w:spacing w:after="20"/>
            </w:pPr>
            <w:r/>
            <w:r>
              <w:rPr>
                <w:sz w:val="18"/>
              </w:rPr>
              <w:t>1,104</w:t>
            </w:r>
          </w:p>
        </w:tc>
        <w:tc>
          <w:tcPr>
            <w:tcW w:type="dxa" w:w="1440"/>
          </w:tcPr>
          <w:p>
            <w:pPr>
              <w:spacing w:after="20"/>
            </w:pPr>
            <w:r/>
            <w:r>
              <w:rPr>
                <w:sz w:val="18"/>
              </w:rPr>
              <w:t>0.93264</w:t>
            </w:r>
          </w:p>
        </w:tc>
      </w:tr>
      <w:tr>
        <w:tc>
          <w:tcPr>
            <w:tcW w:type="dxa" w:w="2160"/>
            <w:shd w:val="clear" w:color="auto" w:fill="F5F7FA"/>
          </w:tcPr>
          <w:p>
            <w:pPr>
              <w:spacing w:after="20"/>
            </w:pPr>
            <w:r/>
            <w:r>
              <w:rPr>
                <w:sz w:val="18"/>
              </w:rPr>
              <w:t>threshold@0.5</w:t>
            </w:r>
          </w:p>
        </w:tc>
        <w:tc>
          <w:tcPr>
            <w:tcW w:type="dxa" w:w="1440"/>
            <w:shd w:val="clear" w:color="auto" w:fill="F5F7FA"/>
          </w:tcPr>
          <w:p>
            <w:pPr>
              <w:spacing w:after="20"/>
            </w:pPr>
            <w:r/>
            <w:r>
              <w:rPr>
                <w:sz w:val="18"/>
              </w:rPr>
              <w:t>0.89469</w:t>
            </w:r>
          </w:p>
        </w:tc>
        <w:tc>
          <w:tcPr>
            <w:tcW w:type="dxa" w:w="1080"/>
            <w:shd w:val="clear" w:color="auto" w:fill="F5F7FA"/>
          </w:tcPr>
          <w:p>
            <w:pPr>
              <w:spacing w:after="20"/>
            </w:pPr>
            <w:r/>
            <w:r>
              <w:rPr>
                <w:sz w:val="18"/>
              </w:rPr>
              <w:t>0.9333</w:t>
            </w:r>
          </w:p>
        </w:tc>
        <w:tc>
          <w:tcPr>
            <w:tcW w:type="dxa" w:w="1080"/>
            <w:shd w:val="clear" w:color="auto" w:fill="F5F7FA"/>
          </w:tcPr>
          <w:p>
            <w:pPr>
              <w:spacing w:after="20"/>
            </w:pPr>
            <w:r/>
            <w:r>
              <w:rPr>
                <w:sz w:val="18"/>
              </w:rPr>
              <w:t>0.8262</w:t>
            </w:r>
          </w:p>
        </w:tc>
        <w:tc>
          <w:tcPr>
            <w:tcW w:type="dxa" w:w="864"/>
            <w:shd w:val="clear" w:color="auto" w:fill="F5F7FA"/>
          </w:tcPr>
          <w:p>
            <w:pPr>
              <w:spacing w:after="20"/>
            </w:pPr>
            <w:r/>
            <w:r>
              <w:rPr>
                <w:sz w:val="18"/>
              </w:rPr>
              <w:t>2.97</w:t>
            </w:r>
          </w:p>
        </w:tc>
        <w:tc>
          <w:tcPr>
            <w:tcW w:type="dxa" w:w="1440"/>
            <w:shd w:val="clear" w:color="auto" w:fill="F5F7FA"/>
          </w:tcPr>
          <w:p>
            <w:pPr>
              <w:spacing w:after="20"/>
            </w:pPr>
            <w:r/>
            <w:r>
              <w:rPr>
                <w:sz w:val="18"/>
              </w:rPr>
              <w:t>1,100</w:t>
            </w:r>
          </w:p>
        </w:tc>
        <w:tc>
          <w:tcPr>
            <w:tcW w:type="dxa" w:w="1440"/>
            <w:shd w:val="clear" w:color="auto" w:fill="F5F7FA"/>
          </w:tcPr>
          <w:p>
            <w:pPr>
              <w:spacing w:after="20"/>
            </w:pPr>
            <w:r/>
            <w:r>
              <w:rPr>
                <w:sz w:val="18"/>
              </w:rPr>
              <w:t>0.93264</w:t>
            </w:r>
          </w:p>
        </w:tc>
      </w:tr>
      <w:tr>
        <w:tc>
          <w:tcPr>
            <w:tcW w:type="dxa" w:w="2160"/>
          </w:tcPr>
          <w:p>
            <w:pPr>
              <w:spacing w:after="20"/>
            </w:pPr>
            <w:r/>
            <w:r>
              <w:rPr>
                <w:sz w:val="18"/>
              </w:rPr>
              <w:t>threshold@0.6</w:t>
            </w:r>
          </w:p>
        </w:tc>
        <w:tc>
          <w:tcPr>
            <w:tcW w:type="dxa" w:w="1440"/>
          </w:tcPr>
          <w:p>
            <w:pPr>
              <w:spacing w:after="20"/>
            </w:pPr>
            <w:r/>
            <w:r>
              <w:rPr>
                <w:sz w:val="18"/>
              </w:rPr>
              <w:t>0.89442</w:t>
            </w:r>
          </w:p>
        </w:tc>
        <w:tc>
          <w:tcPr>
            <w:tcW w:type="dxa" w:w="1080"/>
          </w:tcPr>
          <w:p>
            <w:pPr>
              <w:spacing w:after="20"/>
            </w:pPr>
            <w:r/>
            <w:r>
              <w:rPr>
                <w:sz w:val="18"/>
              </w:rPr>
              <w:t>0.9333</w:t>
            </w:r>
          </w:p>
        </w:tc>
        <w:tc>
          <w:tcPr>
            <w:tcW w:type="dxa" w:w="1080"/>
          </w:tcPr>
          <w:p>
            <w:pPr>
              <w:spacing w:after="20"/>
            </w:pPr>
            <w:r/>
            <w:r>
              <w:rPr>
                <w:sz w:val="18"/>
              </w:rPr>
              <w:t>0.8249</w:t>
            </w:r>
          </w:p>
        </w:tc>
        <w:tc>
          <w:tcPr>
            <w:tcW w:type="dxa" w:w="864"/>
          </w:tcPr>
          <w:p>
            <w:pPr>
              <w:spacing w:after="20"/>
            </w:pPr>
            <w:r/>
            <w:r>
              <w:rPr>
                <w:sz w:val="18"/>
              </w:rPr>
              <w:t>2.96</w:t>
            </w:r>
          </w:p>
        </w:tc>
        <w:tc>
          <w:tcPr>
            <w:tcW w:type="dxa" w:w="1440"/>
          </w:tcPr>
          <w:p>
            <w:pPr>
              <w:spacing w:after="20"/>
            </w:pPr>
            <w:r/>
            <w:r>
              <w:rPr>
                <w:sz w:val="18"/>
              </w:rPr>
              <w:t>1,097</w:t>
            </w:r>
          </w:p>
        </w:tc>
        <w:tc>
          <w:tcPr>
            <w:tcW w:type="dxa" w:w="1440"/>
          </w:tcPr>
          <w:p>
            <w:pPr>
              <w:spacing w:after="20"/>
            </w:pPr>
            <w:r/>
            <w:r>
              <w:rPr>
                <w:sz w:val="18"/>
              </w:rPr>
              <w:t>0.93264</w:t>
            </w:r>
          </w:p>
        </w:tc>
      </w:tr>
      <w:tr>
        <w:tc>
          <w:tcPr>
            <w:tcW w:type="dxa" w:w="2160"/>
            <w:shd w:val="clear" w:color="auto" w:fill="F5F7FA"/>
          </w:tcPr>
          <w:p>
            <w:pPr>
              <w:spacing w:after="20"/>
            </w:pPr>
            <w:r/>
            <w:r>
              <w:rPr>
                <w:sz w:val="18"/>
              </w:rPr>
              <w:t>threshold@0.7</w:t>
            </w:r>
          </w:p>
        </w:tc>
        <w:tc>
          <w:tcPr>
            <w:tcW w:type="dxa" w:w="1440"/>
            <w:shd w:val="clear" w:color="auto" w:fill="F5F7FA"/>
          </w:tcPr>
          <w:p>
            <w:pPr>
              <w:spacing w:after="20"/>
            </w:pPr>
            <w:r/>
            <w:r>
              <w:rPr>
                <w:sz w:val="18"/>
              </w:rPr>
              <w:t>0.89464</w:t>
            </w:r>
          </w:p>
        </w:tc>
        <w:tc>
          <w:tcPr>
            <w:tcW w:type="dxa" w:w="1080"/>
            <w:shd w:val="clear" w:color="auto" w:fill="F5F7FA"/>
          </w:tcPr>
          <w:p>
            <w:pPr>
              <w:spacing w:after="20"/>
            </w:pPr>
            <w:r/>
            <w:r>
              <w:rPr>
                <w:sz w:val="18"/>
              </w:rPr>
              <w:t>0.9340</w:t>
            </w:r>
          </w:p>
        </w:tc>
        <w:tc>
          <w:tcPr>
            <w:tcW w:type="dxa" w:w="1080"/>
            <w:shd w:val="clear" w:color="auto" w:fill="F5F7FA"/>
          </w:tcPr>
          <w:p>
            <w:pPr>
              <w:spacing w:after="20"/>
            </w:pPr>
            <w:r/>
            <w:r>
              <w:rPr>
                <w:sz w:val="18"/>
              </w:rPr>
              <w:t>0.8240</w:t>
            </w:r>
          </w:p>
        </w:tc>
        <w:tc>
          <w:tcPr>
            <w:tcW w:type="dxa" w:w="864"/>
            <w:shd w:val="clear" w:color="auto" w:fill="F5F7FA"/>
          </w:tcPr>
          <w:p>
            <w:pPr>
              <w:spacing w:after="20"/>
            </w:pPr>
            <w:r/>
            <w:r>
              <w:rPr>
                <w:sz w:val="18"/>
              </w:rPr>
              <w:t>2.95</w:t>
            </w:r>
          </w:p>
        </w:tc>
        <w:tc>
          <w:tcPr>
            <w:tcW w:type="dxa" w:w="1440"/>
            <w:shd w:val="clear" w:color="auto" w:fill="F5F7FA"/>
          </w:tcPr>
          <w:p>
            <w:pPr>
              <w:spacing w:after="20"/>
            </w:pPr>
            <w:r/>
            <w:r>
              <w:rPr>
                <w:sz w:val="18"/>
              </w:rPr>
              <w:t>1,096</w:t>
            </w:r>
          </w:p>
        </w:tc>
        <w:tc>
          <w:tcPr>
            <w:tcW w:type="dxa" w:w="1440"/>
            <w:shd w:val="clear" w:color="auto" w:fill="F5F7FA"/>
          </w:tcPr>
          <w:p>
            <w:pPr>
              <w:spacing w:after="20"/>
            </w:pPr>
            <w:r/>
            <w:r>
              <w:rPr>
                <w:sz w:val="18"/>
              </w:rPr>
              <w:t>0.93264</w:t>
            </w:r>
          </w:p>
        </w:tc>
      </w:tr>
      <w:tr>
        <w:tc>
          <w:tcPr>
            <w:tcW w:type="dxa" w:w="2160"/>
          </w:tcPr>
          <w:p>
            <w:pPr>
              <w:spacing w:after="20"/>
            </w:pPr>
            <w:r/>
            <w:r>
              <w:rPr>
                <w:sz w:val="18"/>
              </w:rPr>
              <w:t>threshold@0.8</w:t>
            </w:r>
          </w:p>
        </w:tc>
        <w:tc>
          <w:tcPr>
            <w:tcW w:type="dxa" w:w="1440"/>
          </w:tcPr>
          <w:p>
            <w:pPr>
              <w:spacing w:after="20"/>
            </w:pPr>
            <w:r/>
            <w:r>
              <w:rPr>
                <w:sz w:val="18"/>
              </w:rPr>
              <w:t>0.89451</w:t>
            </w:r>
          </w:p>
        </w:tc>
        <w:tc>
          <w:tcPr>
            <w:tcW w:type="dxa" w:w="1080"/>
          </w:tcPr>
          <w:p>
            <w:pPr>
              <w:spacing w:after="20"/>
            </w:pPr>
            <w:r/>
            <w:r>
              <w:rPr>
                <w:sz w:val="18"/>
              </w:rPr>
              <w:t>0.9347</w:t>
            </w:r>
          </w:p>
        </w:tc>
        <w:tc>
          <w:tcPr>
            <w:tcW w:type="dxa" w:w="1080"/>
          </w:tcPr>
          <w:p>
            <w:pPr>
              <w:spacing w:after="20"/>
            </w:pPr>
            <w:r/>
            <w:r>
              <w:rPr>
                <w:sz w:val="18"/>
              </w:rPr>
              <w:t>0.8222</w:t>
            </w:r>
          </w:p>
        </w:tc>
        <w:tc>
          <w:tcPr>
            <w:tcW w:type="dxa" w:w="864"/>
          </w:tcPr>
          <w:p>
            <w:pPr>
              <w:spacing w:after="20"/>
            </w:pPr>
            <w:r/>
            <w:r>
              <w:rPr>
                <w:sz w:val="18"/>
              </w:rPr>
              <w:t>2.94</w:t>
            </w:r>
          </w:p>
        </w:tc>
        <w:tc>
          <w:tcPr>
            <w:tcW w:type="dxa" w:w="1440"/>
          </w:tcPr>
          <w:p>
            <w:pPr>
              <w:spacing w:after="20"/>
            </w:pPr>
            <w:r/>
            <w:r>
              <w:rPr>
                <w:sz w:val="18"/>
              </w:rPr>
              <w:t>1,094</w:t>
            </w:r>
          </w:p>
        </w:tc>
        <w:tc>
          <w:tcPr>
            <w:tcW w:type="dxa" w:w="1440"/>
          </w:tcPr>
          <w:p>
            <w:pPr>
              <w:spacing w:after="20"/>
            </w:pPr>
            <w:r/>
            <w:r>
              <w:rPr>
                <w:sz w:val="18"/>
              </w:rPr>
              <w:t>0.93264</w:t>
            </w:r>
          </w:p>
        </w:tc>
      </w:tr>
      <w:tr>
        <w:tc>
          <w:tcPr>
            <w:tcW w:type="dxa" w:w="2160"/>
            <w:shd w:val="clear" w:color="auto" w:fill="F5F7FA"/>
          </w:tcPr>
          <w:p>
            <w:pPr>
              <w:spacing w:after="20"/>
            </w:pPr>
            <w:r/>
            <w:r>
              <w:rPr>
                <w:sz w:val="18"/>
              </w:rPr>
              <w:t>top1</w:t>
            </w:r>
          </w:p>
        </w:tc>
        <w:tc>
          <w:tcPr>
            <w:tcW w:type="dxa" w:w="1440"/>
            <w:shd w:val="clear" w:color="auto" w:fill="F5F7FA"/>
          </w:tcPr>
          <w:p>
            <w:pPr>
              <w:spacing w:after="20"/>
            </w:pPr>
            <w:r/>
            <w:r>
              <w:rPr>
                <w:sz w:val="18"/>
              </w:rPr>
              <w:t>0.64999</w:t>
            </w:r>
          </w:p>
        </w:tc>
        <w:tc>
          <w:tcPr>
            <w:tcW w:type="dxa" w:w="1080"/>
            <w:shd w:val="clear" w:color="auto" w:fill="F5F7FA"/>
          </w:tcPr>
          <w:p>
            <w:pPr>
              <w:spacing w:after="20"/>
            </w:pPr>
            <w:r/>
            <w:r>
              <w:rPr>
                <w:sz w:val="18"/>
              </w:rPr>
              <w:t>0.9445</w:t>
            </w:r>
          </w:p>
        </w:tc>
        <w:tc>
          <w:tcPr>
            <w:tcW w:type="dxa" w:w="1080"/>
            <w:shd w:val="clear" w:color="auto" w:fill="F5F7FA"/>
          </w:tcPr>
          <w:p>
            <w:pPr>
              <w:spacing w:after="20"/>
            </w:pPr>
            <w:r/>
            <w:r>
              <w:rPr>
                <w:sz w:val="18"/>
              </w:rPr>
              <w:t>0.3455</w:t>
            </w:r>
          </w:p>
        </w:tc>
        <w:tc>
          <w:tcPr>
            <w:tcW w:type="dxa" w:w="864"/>
            <w:shd w:val="clear" w:color="auto" w:fill="F5F7FA"/>
          </w:tcPr>
          <w:p>
            <w:pPr>
              <w:spacing w:after="20"/>
            </w:pPr>
            <w:r/>
            <w:r>
              <w:rPr>
                <w:sz w:val="18"/>
              </w:rPr>
              <w:t>0.92</w:t>
            </w:r>
          </w:p>
        </w:tc>
        <w:tc>
          <w:tcPr>
            <w:tcW w:type="dxa" w:w="1440"/>
            <w:shd w:val="clear" w:color="auto" w:fill="F5F7FA"/>
          </w:tcPr>
          <w:p>
            <w:pPr>
              <w:spacing w:after="20"/>
            </w:pPr>
            <w:r/>
            <w:r>
              <w:rPr>
                <w:sz w:val="18"/>
              </w:rPr>
              <w:t>199</w:t>
            </w:r>
          </w:p>
        </w:tc>
        <w:tc>
          <w:tcPr>
            <w:tcW w:type="dxa" w:w="1440"/>
            <w:shd w:val="clear" w:color="auto" w:fill="F5F7FA"/>
          </w:tcPr>
          <w:p>
            <w:pPr>
              <w:spacing w:after="20"/>
            </w:pPr>
            <w:r/>
            <w:r>
              <w:rPr>
                <w:sz w:val="18"/>
              </w:rPr>
              <w:t>0.66981</w:t>
            </w:r>
          </w:p>
        </w:tc>
      </w:tr>
      <w:tr>
        <w:tc>
          <w:tcPr>
            <w:tcW w:type="dxa" w:w="2160"/>
          </w:tcPr>
          <w:p>
            <w:pPr>
              <w:spacing w:after="20"/>
            </w:pPr>
            <w:r/>
            <w:r>
              <w:rPr>
                <w:sz w:val="18"/>
              </w:rPr>
              <w:t>top2</w:t>
            </w:r>
          </w:p>
        </w:tc>
        <w:tc>
          <w:tcPr>
            <w:tcW w:type="dxa" w:w="1440"/>
          </w:tcPr>
          <w:p>
            <w:pPr>
              <w:spacing w:after="20"/>
            </w:pPr>
            <w:r/>
            <w:r>
              <w:rPr>
                <w:sz w:val="18"/>
              </w:rPr>
              <w:t>0.72200</w:t>
            </w:r>
          </w:p>
        </w:tc>
        <w:tc>
          <w:tcPr>
            <w:tcW w:type="dxa" w:w="1080"/>
          </w:tcPr>
          <w:p>
            <w:pPr>
              <w:spacing w:after="20"/>
            </w:pPr>
            <w:r/>
            <w:r>
              <w:rPr>
                <w:sz w:val="18"/>
              </w:rPr>
              <w:t>0.8427</w:t>
            </w:r>
          </w:p>
        </w:tc>
        <w:tc>
          <w:tcPr>
            <w:tcW w:type="dxa" w:w="1080"/>
          </w:tcPr>
          <w:p>
            <w:pPr>
              <w:spacing w:after="20"/>
            </w:pPr>
            <w:r/>
            <w:r>
              <w:rPr>
                <w:sz w:val="18"/>
              </w:rPr>
              <w:t>0.5222</w:t>
            </w:r>
          </w:p>
        </w:tc>
        <w:tc>
          <w:tcPr>
            <w:tcW w:type="dxa" w:w="864"/>
          </w:tcPr>
          <w:p>
            <w:pPr>
              <w:spacing w:after="20"/>
            </w:pPr>
            <w:r/>
            <w:r>
              <w:rPr>
                <w:sz w:val="18"/>
              </w:rPr>
              <w:t>2.00</w:t>
            </w:r>
          </w:p>
        </w:tc>
        <w:tc>
          <w:tcPr>
            <w:tcW w:type="dxa" w:w="1440"/>
          </w:tcPr>
          <w:p>
            <w:pPr>
              <w:spacing w:after="20"/>
            </w:pPr>
            <w:r/>
            <w:r>
              <w:rPr>
                <w:sz w:val="18"/>
              </w:rPr>
              <w:t>230</w:t>
            </w:r>
          </w:p>
        </w:tc>
        <w:tc>
          <w:tcPr>
            <w:tcW w:type="dxa" w:w="1440"/>
          </w:tcPr>
          <w:p>
            <w:pPr>
              <w:spacing w:after="20"/>
            </w:pPr>
            <w:r/>
            <w:r>
              <w:rPr>
                <w:sz w:val="18"/>
              </w:rPr>
              <w:t>0.74112</w:t>
            </w:r>
          </w:p>
        </w:tc>
      </w:tr>
      <w:tr>
        <w:tc>
          <w:tcPr>
            <w:tcW w:type="dxa" w:w="2160"/>
            <w:shd w:val="clear" w:color="auto" w:fill="F5F7FA"/>
          </w:tcPr>
          <w:p>
            <w:pPr>
              <w:spacing w:after="20"/>
            </w:pPr>
            <w:r/>
            <w:r>
              <w:rPr>
                <w:sz w:val="18"/>
              </w:rPr>
              <w:t>top3</w:t>
            </w:r>
          </w:p>
        </w:tc>
        <w:tc>
          <w:tcPr>
            <w:tcW w:type="dxa" w:w="1440"/>
            <w:shd w:val="clear" w:color="auto" w:fill="F5F7FA"/>
          </w:tcPr>
          <w:p>
            <w:pPr>
              <w:spacing w:after="20"/>
            </w:pPr>
            <w:r/>
            <w:r>
              <w:rPr>
                <w:sz w:val="18"/>
              </w:rPr>
              <w:t>0.71720</w:t>
            </w:r>
          </w:p>
        </w:tc>
        <w:tc>
          <w:tcPr>
            <w:tcW w:type="dxa" w:w="1080"/>
            <w:shd w:val="clear" w:color="auto" w:fill="F5F7FA"/>
          </w:tcPr>
          <w:p>
            <w:pPr>
              <w:spacing w:after="20"/>
            </w:pPr>
            <w:r/>
            <w:r>
              <w:rPr>
                <w:sz w:val="18"/>
              </w:rPr>
              <w:t>0.7592</w:t>
            </w:r>
          </w:p>
        </w:tc>
        <w:tc>
          <w:tcPr>
            <w:tcW w:type="dxa" w:w="1080"/>
            <w:shd w:val="clear" w:color="auto" w:fill="F5F7FA"/>
          </w:tcPr>
          <w:p>
            <w:pPr>
              <w:spacing w:after="20"/>
            </w:pPr>
            <w:r/>
            <w:r>
              <w:rPr>
                <w:sz w:val="18"/>
              </w:rPr>
              <w:t>0.6656</w:t>
            </w:r>
          </w:p>
        </w:tc>
        <w:tc>
          <w:tcPr>
            <w:tcW w:type="dxa" w:w="864"/>
            <w:shd w:val="clear" w:color="auto" w:fill="F5F7FA"/>
          </w:tcPr>
          <w:p>
            <w:pPr>
              <w:spacing w:after="20"/>
            </w:pPr>
            <w:r/>
            <w:r>
              <w:rPr>
                <w:sz w:val="18"/>
              </w:rPr>
              <w:t>2.98</w:t>
            </w:r>
          </w:p>
        </w:tc>
        <w:tc>
          <w:tcPr>
            <w:tcW w:type="dxa" w:w="1440"/>
            <w:shd w:val="clear" w:color="auto" w:fill="F5F7FA"/>
          </w:tcPr>
          <w:p>
            <w:pPr>
              <w:spacing w:after="20"/>
            </w:pPr>
            <w:r/>
            <w:r>
              <w:rPr>
                <w:sz w:val="18"/>
              </w:rPr>
              <w:t>309</w:t>
            </w:r>
          </w:p>
        </w:tc>
        <w:tc>
          <w:tcPr>
            <w:tcW w:type="dxa" w:w="1440"/>
            <w:shd w:val="clear" w:color="auto" w:fill="F5F7FA"/>
          </w:tcPr>
          <w:p>
            <w:pPr>
              <w:spacing w:after="20"/>
            </w:pPr>
            <w:r/>
            <w:r>
              <w:rPr>
                <w:sz w:val="18"/>
              </w:rPr>
              <w:t>0.73430</w:t>
            </w:r>
          </w:p>
        </w:tc>
      </w:tr>
      <w:tr>
        <w:tc>
          <w:tcPr>
            <w:tcW w:type="dxa" w:w="2160"/>
          </w:tcPr>
          <w:p>
            <w:pPr>
              <w:spacing w:after="20"/>
            </w:pPr>
            <w:r/>
            <w:r>
              <w:rPr>
                <w:sz w:val="18"/>
              </w:rPr>
              <w:t>top4</w:t>
            </w:r>
          </w:p>
        </w:tc>
        <w:tc>
          <w:tcPr>
            <w:tcW w:type="dxa" w:w="1440"/>
          </w:tcPr>
          <w:p>
            <w:pPr>
              <w:spacing w:after="20"/>
            </w:pPr>
            <w:r/>
            <w:r>
              <w:rPr>
                <w:sz w:val="18"/>
              </w:rPr>
              <w:t>0.65976</w:t>
            </w:r>
          </w:p>
        </w:tc>
        <w:tc>
          <w:tcPr>
            <w:tcW w:type="dxa" w:w="1080"/>
          </w:tcPr>
          <w:p>
            <w:pPr>
              <w:spacing w:after="20"/>
            </w:pPr>
            <w:r/>
            <w:r>
              <w:rPr>
                <w:sz w:val="18"/>
              </w:rPr>
              <w:t>0.6622</w:t>
            </w:r>
          </w:p>
        </w:tc>
        <w:tc>
          <w:tcPr>
            <w:tcW w:type="dxa" w:w="1080"/>
          </w:tcPr>
          <w:p>
            <w:pPr>
              <w:spacing w:after="20"/>
            </w:pPr>
            <w:r/>
            <w:r>
              <w:rPr>
                <w:sz w:val="18"/>
              </w:rPr>
              <w:t>0.7396</w:t>
            </w:r>
          </w:p>
        </w:tc>
        <w:tc>
          <w:tcPr>
            <w:tcW w:type="dxa" w:w="864"/>
          </w:tcPr>
          <w:p>
            <w:pPr>
              <w:spacing w:after="20"/>
            </w:pPr>
            <w:r/>
            <w:r>
              <w:rPr>
                <w:sz w:val="18"/>
              </w:rPr>
              <w:t>3.96</w:t>
            </w:r>
          </w:p>
        </w:tc>
        <w:tc>
          <w:tcPr>
            <w:tcW w:type="dxa" w:w="1440"/>
          </w:tcPr>
          <w:p>
            <w:pPr>
              <w:spacing w:after="20"/>
            </w:pPr>
            <w:r/>
            <w:r>
              <w:rPr>
                <w:sz w:val="18"/>
              </w:rPr>
              <w:t>255</w:t>
            </w:r>
          </w:p>
        </w:tc>
        <w:tc>
          <w:tcPr>
            <w:tcW w:type="dxa" w:w="1440"/>
          </w:tcPr>
          <w:p>
            <w:pPr>
              <w:spacing w:after="20"/>
            </w:pPr>
            <w:r/>
            <w:r>
              <w:rPr>
                <w:sz w:val="18"/>
              </w:rPr>
              <w:t>0.67472</w:t>
            </w:r>
          </w:p>
        </w:tc>
      </w:tr>
    </w:tbl>
    <w:p>
      <w:pPr>
        <w:spacing w:after="0"/>
      </w:pPr>
    </w:p>
    <w:p>
      <w:pPr>
        <w:spacing w:before="40" w:after="240"/>
      </w:pPr>
      <w:r>
        <w:rPr>
          <w:i/>
          <w:color w:val="606060"/>
          <w:sz w:val="17"/>
        </w:rPr>
        <w:t>2,053 validation entities. "exact-set entities" counts entities where the predicted set equals the true set exactly. Best row highlighted.</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4032"/>
            <w:shd w:val="clear" w:color="auto" w:fill="1F3A5F"/>
          </w:tcPr>
          <w:p>
            <w:pPr>
              <w:spacing w:after="20"/>
            </w:pPr>
            <w:r/>
            <w:r>
              <w:rPr>
                <w:b/>
                <w:color w:val="FFFFFF"/>
                <w:sz w:val="18"/>
              </w:rPr>
              <w:t>Headline comparison</w:t>
            </w:r>
          </w:p>
        </w:tc>
        <w:tc>
          <w:tcPr>
            <w:tcW w:type="dxa" w:w="2016"/>
            <w:shd w:val="clear" w:color="auto" w:fill="1F3A5F"/>
          </w:tcPr>
          <w:p>
            <w:pPr>
              <w:spacing w:after="20"/>
            </w:pPr>
            <w:r/>
            <w:r>
              <w:rPr>
                <w:b/>
                <w:color w:val="FFFFFF"/>
                <w:sz w:val="18"/>
              </w:rPr>
              <w:t>val macro F0.5</w:t>
            </w:r>
          </w:p>
        </w:tc>
        <w:tc>
          <w:tcPr>
            <w:tcW w:type="dxa" w:w="1728"/>
            <w:shd w:val="clear" w:color="auto" w:fill="1F3A5F"/>
          </w:tcPr>
          <w:p>
            <w:pPr>
              <w:spacing w:after="20"/>
            </w:pPr>
            <w:r/>
            <w:r>
              <w:rPr>
                <w:b/>
                <w:color w:val="FFFFFF"/>
                <w:sz w:val="18"/>
              </w:rPr>
              <w:t>delta</w:t>
            </w:r>
          </w:p>
        </w:tc>
      </w:tr>
      <w:tr>
        <w:tc>
          <w:tcPr>
            <w:tcW w:type="dxa" w:w="4032"/>
            <w:shd w:val="clear" w:color="auto" w:fill="E8F0DC"/>
          </w:tcPr>
          <w:p>
            <w:pPr>
              <w:spacing w:after="20"/>
            </w:pPr>
            <w:r/>
            <w:r>
              <w:rPr>
                <w:b/>
                <w:sz w:val="18"/>
              </w:rPr>
              <w:t>expected-F0.5 set selection</w:t>
            </w:r>
          </w:p>
        </w:tc>
        <w:tc>
          <w:tcPr>
            <w:tcW w:type="dxa" w:w="2016"/>
            <w:shd w:val="clear" w:color="auto" w:fill="E8F0DC"/>
          </w:tcPr>
          <w:p>
            <w:pPr>
              <w:spacing w:after="20"/>
            </w:pPr>
            <w:r/>
            <w:r>
              <w:rPr>
                <w:b/>
                <w:sz w:val="18"/>
              </w:rPr>
              <w:t>0.89520</w:t>
            </w:r>
          </w:p>
        </w:tc>
        <w:tc>
          <w:tcPr>
            <w:tcW w:type="dxa" w:w="1728"/>
            <w:shd w:val="clear" w:color="auto" w:fill="E8F0DC"/>
          </w:tcPr>
          <w:p>
            <w:pPr>
              <w:spacing w:after="20"/>
            </w:pPr>
            <w:r/>
            <w:r>
              <w:rPr>
                <w:b/>
                <w:sz w:val="18"/>
              </w:rPr>
              <w:t>-</w:t>
            </w:r>
          </w:p>
        </w:tc>
      </w:tr>
      <w:tr>
        <w:tc>
          <w:tcPr>
            <w:tcW w:type="dxa" w:w="4032"/>
            <w:shd w:val="clear" w:color="auto" w:fill="F5F7FA"/>
          </w:tcPr>
          <w:p>
            <w:pPr>
              <w:spacing w:after="20"/>
            </w:pPr>
            <w:r/>
            <w:r>
              <w:rPr>
                <w:sz w:val="18"/>
              </w:rPr>
              <w:t>best tuned global threshold (threshold@0.5)</w:t>
            </w:r>
          </w:p>
        </w:tc>
        <w:tc>
          <w:tcPr>
            <w:tcW w:type="dxa" w:w="2016"/>
            <w:shd w:val="clear" w:color="auto" w:fill="F5F7FA"/>
          </w:tcPr>
          <w:p>
            <w:pPr>
              <w:spacing w:after="20"/>
            </w:pPr>
            <w:r/>
            <w:r>
              <w:rPr>
                <w:sz w:val="18"/>
              </w:rPr>
              <w:t>0.89469</w:t>
            </w:r>
          </w:p>
        </w:tc>
        <w:tc>
          <w:tcPr>
            <w:tcW w:type="dxa" w:w="1728"/>
            <w:shd w:val="clear" w:color="auto" w:fill="F5F7FA"/>
          </w:tcPr>
          <w:p>
            <w:pPr>
              <w:spacing w:after="20"/>
            </w:pPr>
            <w:r/>
            <w:r>
              <w:rPr>
                <w:sz w:val="18"/>
              </w:rPr>
              <w:t>+0.00051</w:t>
            </w:r>
          </w:p>
        </w:tc>
      </w:tr>
      <w:tr>
        <w:tc>
          <w:tcPr>
            <w:tcW w:type="dxa" w:w="4032"/>
          </w:tcPr>
          <w:p>
            <w:pPr>
              <w:spacing w:after="20"/>
            </w:pPr>
            <w:r/>
            <w:r>
              <w:rPr>
                <w:sz w:val="18"/>
              </w:rPr>
              <w:t>stage-1 only + expected-F0.5 (no graph stage)</w:t>
            </w:r>
          </w:p>
        </w:tc>
        <w:tc>
          <w:tcPr>
            <w:tcW w:type="dxa" w:w="2016"/>
          </w:tcPr>
          <w:p>
            <w:pPr>
              <w:spacing w:after="20"/>
            </w:pPr>
            <w:r/>
            <w:r>
              <w:rPr>
                <w:sz w:val="18"/>
              </w:rPr>
              <w:t>0.89455</w:t>
            </w:r>
          </w:p>
        </w:tc>
        <w:tc>
          <w:tcPr>
            <w:tcW w:type="dxa" w:w="1728"/>
          </w:tcPr>
          <w:p>
            <w:pPr>
              <w:spacing w:after="20"/>
            </w:pPr>
            <w:r/>
            <w:r>
              <w:rPr>
                <w:sz w:val="18"/>
              </w:rPr>
              <w:t>+0.00064</w:t>
            </w:r>
          </w:p>
        </w:tc>
      </w:tr>
      <w:tr>
        <w:tc>
          <w:tcPr>
            <w:tcW w:type="dxa" w:w="4032"/>
            <w:shd w:val="clear" w:color="auto" w:fill="F5F7FA"/>
          </w:tcPr>
          <w:p>
            <w:pPr>
              <w:spacing w:after="20"/>
            </w:pPr>
            <w:r/>
            <w:r>
              <w:rPr>
                <w:sz w:val="18"/>
              </w:rPr>
              <w:t>top-3 fixed cardinality</w:t>
            </w:r>
          </w:p>
        </w:tc>
        <w:tc>
          <w:tcPr>
            <w:tcW w:type="dxa" w:w="2016"/>
            <w:shd w:val="clear" w:color="auto" w:fill="F5F7FA"/>
          </w:tcPr>
          <w:p>
            <w:pPr>
              <w:spacing w:after="20"/>
            </w:pPr>
            <w:r/>
            <w:r>
              <w:rPr>
                <w:sz w:val="18"/>
              </w:rPr>
              <w:t>0.71720</w:t>
            </w:r>
          </w:p>
        </w:tc>
        <w:tc>
          <w:tcPr>
            <w:tcW w:type="dxa" w:w="1728"/>
            <w:shd w:val="clear" w:color="auto" w:fill="F5F7FA"/>
          </w:tcPr>
          <w:p>
            <w:pPr>
              <w:spacing w:after="20"/>
            </w:pPr>
            <w:r/>
            <w:r>
              <w:rPr>
                <w:sz w:val="18"/>
              </w:rPr>
              <w:t>+0.17800</w:t>
            </w:r>
          </w:p>
        </w:tc>
      </w:tr>
      <w:tr>
        <w:tc>
          <w:tcPr>
            <w:tcW w:type="dxa" w:w="4032"/>
          </w:tcPr>
          <w:p>
            <w:pPr>
              <w:spacing w:after="20"/>
            </w:pPr>
            <w:r/>
            <w:r>
              <w:rPr>
                <w:sz w:val="18"/>
              </w:rPr>
              <w:t>top-1 fixed cardinality</w:t>
            </w:r>
          </w:p>
        </w:tc>
        <w:tc>
          <w:tcPr>
            <w:tcW w:type="dxa" w:w="2016"/>
          </w:tcPr>
          <w:p>
            <w:pPr>
              <w:spacing w:after="20"/>
            </w:pPr>
            <w:r/>
            <w:r>
              <w:rPr>
                <w:sz w:val="18"/>
              </w:rPr>
              <w:t>0.64999</w:t>
            </w:r>
          </w:p>
        </w:tc>
        <w:tc>
          <w:tcPr>
            <w:tcW w:type="dxa" w:w="1728"/>
          </w:tcPr>
          <w:p>
            <w:pPr>
              <w:spacing w:after="20"/>
            </w:pPr>
            <w:r/>
            <w:r>
              <w:rPr>
                <w:sz w:val="18"/>
              </w:rPr>
              <w:t>+0.24521</w:t>
            </w:r>
          </w:p>
        </w:tc>
      </w:tr>
    </w:tbl>
    <w:p>
      <w:pPr>
        <w:spacing w:after="0"/>
      </w:pPr>
    </w:p>
    <w:p>
      <w:pPr>
        <w:pStyle w:val="Heading3"/>
      </w:pPr>
      <w:r>
        <w:t>3.5.1  Honest reading of the decision-layer result</w:t>
      </w:r>
    </w:p>
    <w:p>
      <w:pPr>
        <w:pStyle w:val="ListBullet"/>
        <w:spacing w:after="40"/>
      </w:pPr>
      <w:r>
        <w:t>Against a tuned global threshold the decision layer wins by only +0.00051. Reported plainly: on this dataset it is near-neutral versus a threshold that has already been swept on validation, because the probabilities are nearly deterministic (3.4).</w:t>
      </w:r>
    </w:p>
    <w:p>
      <w:pPr>
        <w:pStyle w:val="ListBullet"/>
        <w:spacing w:after="40"/>
      </w:pPr>
      <w:r>
        <w:t>Against naive fixed-cardinality rules the gap is large: +0.1780 versus top-3 and +0.2452 versus top-1. Choosing cardinality is the job that matters, and the rule does it without any validation sweep to find an operating point.</w:t>
      </w:r>
    </w:p>
    <w:p>
      <w:pPr>
        <w:pStyle w:val="ListBullet"/>
        <w:spacing w:after="40"/>
      </w:pPr>
      <w:r>
        <w:t>That last property is the practical value: no free parameter to tune means no operating point to overfit to the public leaderboard, and no re-tuning when the probability distribution shifts - which is exactly what France will do.</w:t>
      </w:r>
    </w:p>
    <w:p>
      <w:pPr>
        <w:pStyle w:val="ListBullet"/>
        <w:spacing w:after="40"/>
      </w:pPr>
      <w:r>
        <w:t>The graph stage (T + R) is worth +0.00064 on top of stage-1 features under the same decision rule - small, and consistent with stage 2 having been fed a truncated feature set.</w:t>
      </w:r>
    </w:p>
    <w:p>
      <w:pPr>
        <w:pStyle w:val="ListBullet"/>
        <w:spacing w:after="40"/>
      </w:pPr>
      <w:r>
        <w:t>The disjointness repair and the missed-mass term M are each worth at most 0.00002 here (expected_f_no_repair and expected_f_no_miss are within noise of expected_f), which is expected when blocking recall is high and competition is rarely contested.</w:t>
      </w:r>
    </w:p>
    <w:p>
      <w:pPr>
        <w:pStyle w:val="Heading3"/>
      </w:pPr>
      <w:r>
        <w:t>3.5.2  Where the remaining headroom is</w:t>
      </w:r>
    </w:p>
    <w:p>
      <w:r>
        <w:rPr>
          <w:b w:val="0"/>
          <w:i w:val="0"/>
        </w:rPr>
        <w:t>At macro precision 0.9347 and macro recall 0.8242, the local sensitivities are dF/dR of about 0.40 and dF/dP of about 0.75. Precision is still worth roughly 2x per unit, but precision has little headroom left while recall has about 0.09 up to the blocking ceiling and more beyond it.</w:t>
      </w:r>
    </w:p>
    <w:tbl>
      <w:tblPr>
        <w:tblStyle w:val="TableGrid"/>
        <w:tblW w:type="auto" w:w="0"/>
        <w:jc w:val="center"/>
        <w:tblLayout w:type="autofit"/>
        <w:tblLook w:firstColumn="1" w:firstRow="1" w:lastColumn="0" w:lastRow="0" w:noHBand="0" w:noVBand="1" w:val="04A0"/>
      </w:tblPr>
      <w:tblGrid>
        <w:gridCol w:w="4752"/>
        <w:gridCol w:w="4752"/>
      </w:tblGrid>
      <w:tr>
        <w:tc>
          <w:tcPr>
            <w:tcW w:type="dxa" w:w="4320"/>
            <w:shd w:val="clear" w:color="auto" w:fill="1F3A5F"/>
          </w:tcPr>
          <w:p>
            <w:pPr>
              <w:spacing w:after="20"/>
            </w:pPr>
            <w:r/>
            <w:r>
              <w:rPr>
                <w:b/>
                <w:color w:val="FFFFFF"/>
                <w:sz w:val="18"/>
              </w:rPr>
              <w:t>Scenario (precision held at 0.935)</w:t>
            </w:r>
          </w:p>
        </w:tc>
        <w:tc>
          <w:tcPr>
            <w:tcW w:type="dxa" w:w="2160"/>
            <w:shd w:val="clear" w:color="auto" w:fill="1F3A5F"/>
          </w:tcPr>
          <w:p>
            <w:pPr>
              <w:spacing w:after="20"/>
            </w:pPr>
            <w:r/>
            <w:r>
              <w:rPr>
                <w:b/>
                <w:color w:val="FFFFFF"/>
                <w:sz w:val="18"/>
              </w:rPr>
              <w:t>macro F0.5</w:t>
            </w:r>
          </w:p>
        </w:tc>
      </w:tr>
      <w:tr>
        <w:tc>
          <w:tcPr>
            <w:tcW w:type="dxa" w:w="4320"/>
          </w:tcPr>
          <w:p>
            <w:pPr>
              <w:spacing w:after="20"/>
            </w:pPr>
            <w:r/>
            <w:r>
              <w:rPr>
                <w:sz w:val="18"/>
              </w:rPr>
              <w:t>R = 0.824 (current)</w:t>
            </w:r>
          </w:p>
        </w:tc>
        <w:tc>
          <w:tcPr>
            <w:tcW w:type="dxa" w:w="2160"/>
          </w:tcPr>
          <w:p>
            <w:pPr>
              <w:spacing w:after="20"/>
            </w:pPr>
            <w:r/>
            <w:r>
              <w:rPr>
                <w:sz w:val="18"/>
              </w:rPr>
              <w:t>0.8952</w:t>
            </w:r>
          </w:p>
        </w:tc>
      </w:tr>
      <w:tr>
        <w:tc>
          <w:tcPr>
            <w:tcW w:type="dxa" w:w="4320"/>
            <w:shd w:val="clear" w:color="auto" w:fill="F5F7FA"/>
          </w:tcPr>
          <w:p>
            <w:pPr>
              <w:spacing w:after="20"/>
            </w:pPr>
            <w:r/>
            <w:r>
              <w:rPr>
                <w:sz w:val="18"/>
              </w:rPr>
              <w:t>R = 0.86</w:t>
            </w:r>
          </w:p>
        </w:tc>
        <w:tc>
          <w:tcPr>
            <w:tcW w:type="dxa" w:w="2160"/>
            <w:shd w:val="clear" w:color="auto" w:fill="F5F7FA"/>
          </w:tcPr>
          <w:p>
            <w:pPr>
              <w:spacing w:after="20"/>
            </w:pPr>
            <w:r/>
            <w:r>
              <w:rPr>
                <w:sz w:val="18"/>
              </w:rPr>
              <w:t>0.9117</w:t>
            </w:r>
          </w:p>
        </w:tc>
      </w:tr>
      <w:tr>
        <w:tc>
          <w:tcPr>
            <w:tcW w:type="dxa" w:w="4320"/>
          </w:tcPr>
          <w:p>
            <w:pPr>
              <w:spacing w:after="20"/>
            </w:pPr>
            <w:r/>
            <w:r>
              <w:rPr>
                <w:sz w:val="18"/>
              </w:rPr>
              <w:t>R = 0.90</w:t>
            </w:r>
          </w:p>
        </w:tc>
        <w:tc>
          <w:tcPr>
            <w:tcW w:type="dxa" w:w="2160"/>
          </w:tcPr>
          <w:p>
            <w:pPr>
              <w:spacing w:after="20"/>
            </w:pPr>
            <w:r/>
            <w:r>
              <w:rPr>
                <w:sz w:val="18"/>
              </w:rPr>
              <w:t>0.9276</w:t>
            </w:r>
          </w:p>
        </w:tc>
      </w:tr>
      <w:tr>
        <w:tc>
          <w:tcPr>
            <w:tcW w:type="dxa" w:w="4320"/>
            <w:shd w:val="clear" w:color="auto" w:fill="F5F7FA"/>
          </w:tcPr>
          <w:p>
            <w:pPr>
              <w:spacing w:after="20"/>
            </w:pPr>
            <w:r/>
            <w:r>
              <w:rPr>
                <w:sz w:val="18"/>
              </w:rPr>
              <w:t>R = 0.95</w:t>
            </w:r>
          </w:p>
        </w:tc>
        <w:tc>
          <w:tcPr>
            <w:tcW w:type="dxa" w:w="2160"/>
            <w:shd w:val="clear" w:color="auto" w:fill="F5F7FA"/>
          </w:tcPr>
          <w:p>
            <w:pPr>
              <w:spacing w:after="20"/>
            </w:pPr>
            <w:r/>
            <w:r>
              <w:rPr>
                <w:sz w:val="18"/>
              </w:rPr>
              <w:t>0.9465</w:t>
            </w:r>
          </w:p>
        </w:tc>
      </w:tr>
    </w:tbl>
    <w:p>
      <w:pPr>
        <w:spacing w:after="0"/>
      </w:pPr>
    </w:p>
    <w:p>
      <w:pPr>
        <w:spacing w:before="40" w:after="240"/>
      </w:pPr>
      <w:r>
        <w:rPr>
          <w:i/>
          <w:color w:val="606060"/>
          <w:sz w:val="17"/>
        </w:rPr>
        <w:t>This reverses the earlier blocking-stage conclusion. That analysis assumed perfect precision within the candidate set, which made recall look cheap. With a real matcher at P = 0.935 the arithmetic favours buying recall.</w:t>
      </w:r>
    </w:p>
    <w:p>
      <w:pPr>
        <w:pStyle w:val="Heading2"/>
      </w:pPr>
      <w:r>
        <w:t>3.6  Feature evidence</w:t>
      </w:r>
    </w:p>
    <w:p>
      <w:pPr>
        <w:pStyle w:val="Heading3"/>
      </w:pPr>
      <w:r>
        <w:t>3.6.1  Stage-1 permutation importance (top 15)</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576"/>
            <w:shd w:val="clear" w:color="auto" w:fill="1F3A5F"/>
          </w:tcPr>
          <w:p>
            <w:pPr>
              <w:spacing w:after="20"/>
            </w:pPr>
            <w:r/>
            <w:r>
              <w:rPr>
                <w:b/>
                <w:color w:val="FFFFFF"/>
                <w:sz w:val="18"/>
              </w:rPr>
              <w:t>#</w:t>
            </w:r>
          </w:p>
        </w:tc>
        <w:tc>
          <w:tcPr>
            <w:tcW w:type="dxa" w:w="3456"/>
            <w:shd w:val="clear" w:color="auto" w:fill="1F3A5F"/>
          </w:tcPr>
          <w:p>
            <w:pPr>
              <w:spacing w:after="20"/>
            </w:pPr>
            <w:r/>
            <w:r>
              <w:rPr>
                <w:b/>
                <w:color w:val="FFFFFF"/>
                <w:sz w:val="18"/>
              </w:rPr>
              <w:t>Feature</w:t>
            </w:r>
          </w:p>
        </w:tc>
        <w:tc>
          <w:tcPr>
            <w:tcW w:type="dxa" w:w="1728"/>
            <w:shd w:val="clear" w:color="auto" w:fill="1F3A5F"/>
          </w:tcPr>
          <w:p>
            <w:pPr>
              <w:spacing w:after="20"/>
            </w:pPr>
            <w:r/>
            <w:r>
              <w:rPr>
                <w:b/>
                <w:color w:val="FFFFFF"/>
                <w:sz w:val="18"/>
              </w:rPr>
              <w:t>importance</w:t>
            </w:r>
          </w:p>
        </w:tc>
        <w:tc>
          <w:tcPr>
            <w:tcW w:type="dxa" w:w="1872"/>
            <w:shd w:val="clear" w:color="auto" w:fill="1F3A5F"/>
          </w:tcPr>
          <w:p>
            <w:pPr>
              <w:spacing w:after="20"/>
            </w:pPr>
            <w:r/>
            <w:r>
              <w:rPr>
                <w:b/>
                <w:color w:val="FFFFFF"/>
                <w:sz w:val="18"/>
              </w:rPr>
              <w:t>share of total</w:t>
            </w:r>
          </w:p>
        </w:tc>
      </w:tr>
      <w:tr>
        <w:tc>
          <w:tcPr>
            <w:tcW w:type="dxa" w:w="576"/>
          </w:tcPr>
          <w:p>
            <w:pPr>
              <w:spacing w:after="20"/>
            </w:pPr>
            <w:r/>
            <w:r>
              <w:rPr>
                <w:sz w:val="18"/>
              </w:rPr>
              <w:t>1</w:t>
            </w:r>
          </w:p>
        </w:tc>
        <w:tc>
          <w:tcPr>
            <w:tcW w:type="dxa" w:w="3456"/>
          </w:tcPr>
          <w:p>
            <w:pPr>
              <w:spacing w:after="20"/>
            </w:pPr>
            <w:r/>
            <w:r>
              <w:rPr>
                <w:sz w:val="18"/>
              </w:rPr>
              <w:t>addr_containment</w:t>
            </w:r>
          </w:p>
        </w:tc>
        <w:tc>
          <w:tcPr>
            <w:tcW w:type="dxa" w:w="1728"/>
          </w:tcPr>
          <w:p>
            <w:pPr>
              <w:spacing w:after="20"/>
            </w:pPr>
            <w:r/>
            <w:r>
              <w:rPr>
                <w:sz w:val="18"/>
              </w:rPr>
              <w:t>0.37253</w:t>
            </w:r>
          </w:p>
        </w:tc>
        <w:tc>
          <w:tcPr>
            <w:tcW w:type="dxa" w:w="1872"/>
          </w:tcPr>
          <w:p>
            <w:pPr>
              <w:spacing w:after="20"/>
            </w:pPr>
            <w:r/>
            <w:r>
              <w:rPr>
                <w:sz w:val="18"/>
              </w:rPr>
              <w:t>37.36%</w:t>
            </w:r>
          </w:p>
        </w:tc>
      </w:tr>
      <w:tr>
        <w:tc>
          <w:tcPr>
            <w:tcW w:type="dxa" w:w="576"/>
            <w:shd w:val="clear" w:color="auto" w:fill="F5F7FA"/>
          </w:tcPr>
          <w:p>
            <w:pPr>
              <w:spacing w:after="20"/>
            </w:pPr>
            <w:r/>
            <w:r>
              <w:rPr>
                <w:sz w:val="18"/>
              </w:rPr>
              <w:t>2</w:t>
            </w:r>
          </w:p>
        </w:tc>
        <w:tc>
          <w:tcPr>
            <w:tcW w:type="dxa" w:w="3456"/>
            <w:shd w:val="clear" w:color="auto" w:fill="F5F7FA"/>
          </w:tcPr>
          <w:p>
            <w:pPr>
              <w:spacing w:after="20"/>
            </w:pPr>
            <w:r/>
            <w:r>
              <w:rPr>
                <w:sz w:val="18"/>
              </w:rPr>
              <w:t>name_partial</w:t>
            </w:r>
          </w:p>
        </w:tc>
        <w:tc>
          <w:tcPr>
            <w:tcW w:type="dxa" w:w="1728"/>
            <w:shd w:val="clear" w:color="auto" w:fill="F5F7FA"/>
          </w:tcPr>
          <w:p>
            <w:pPr>
              <w:spacing w:after="20"/>
            </w:pPr>
            <w:r/>
            <w:r>
              <w:rPr>
                <w:sz w:val="18"/>
              </w:rPr>
              <w:t>0.14147</w:t>
            </w:r>
          </w:p>
        </w:tc>
        <w:tc>
          <w:tcPr>
            <w:tcW w:type="dxa" w:w="1872"/>
            <w:shd w:val="clear" w:color="auto" w:fill="F5F7FA"/>
          </w:tcPr>
          <w:p>
            <w:pPr>
              <w:spacing w:after="20"/>
            </w:pPr>
            <w:r/>
            <w:r>
              <w:rPr>
                <w:sz w:val="18"/>
              </w:rPr>
              <w:t>14.19%</w:t>
            </w:r>
          </w:p>
        </w:tc>
      </w:tr>
      <w:tr>
        <w:tc>
          <w:tcPr>
            <w:tcW w:type="dxa" w:w="576"/>
          </w:tcPr>
          <w:p>
            <w:pPr>
              <w:spacing w:after="20"/>
            </w:pPr>
            <w:r/>
            <w:r>
              <w:rPr>
                <w:sz w:val="18"/>
              </w:rPr>
              <w:t>3</w:t>
            </w:r>
          </w:p>
        </w:tc>
        <w:tc>
          <w:tcPr>
            <w:tcW w:type="dxa" w:w="3456"/>
          </w:tcPr>
          <w:p>
            <w:pPr>
              <w:spacing w:after="20"/>
            </w:pPr>
            <w:r/>
            <w:r>
              <w:rPr>
                <w:sz w:val="18"/>
              </w:rPr>
              <w:t>addr_token_set</w:t>
            </w:r>
          </w:p>
        </w:tc>
        <w:tc>
          <w:tcPr>
            <w:tcW w:type="dxa" w:w="1728"/>
          </w:tcPr>
          <w:p>
            <w:pPr>
              <w:spacing w:after="20"/>
            </w:pPr>
            <w:r/>
            <w:r>
              <w:rPr>
                <w:sz w:val="18"/>
              </w:rPr>
              <w:t>0.12241</w:t>
            </w:r>
          </w:p>
        </w:tc>
        <w:tc>
          <w:tcPr>
            <w:tcW w:type="dxa" w:w="1872"/>
          </w:tcPr>
          <w:p>
            <w:pPr>
              <w:spacing w:after="20"/>
            </w:pPr>
            <w:r/>
            <w:r>
              <w:rPr>
                <w:sz w:val="18"/>
              </w:rPr>
              <w:t>12.28%</w:t>
            </w:r>
          </w:p>
        </w:tc>
      </w:tr>
      <w:tr>
        <w:tc>
          <w:tcPr>
            <w:tcW w:type="dxa" w:w="576"/>
            <w:shd w:val="clear" w:color="auto" w:fill="F5F7FA"/>
          </w:tcPr>
          <w:p>
            <w:pPr>
              <w:spacing w:after="20"/>
            </w:pPr>
            <w:r/>
            <w:r>
              <w:rPr>
                <w:sz w:val="18"/>
              </w:rPr>
              <w:t>4</w:t>
            </w:r>
          </w:p>
        </w:tc>
        <w:tc>
          <w:tcPr>
            <w:tcW w:type="dxa" w:w="3456"/>
            <w:shd w:val="clear" w:color="auto" w:fill="F5F7FA"/>
          </w:tcPr>
          <w:p>
            <w:pPr>
              <w:spacing w:after="20"/>
            </w:pPr>
            <w:r/>
            <w:r>
              <w:rPr>
                <w:sz w:val="18"/>
              </w:rPr>
              <w:t>addr_idf_cosine</w:t>
            </w:r>
          </w:p>
        </w:tc>
        <w:tc>
          <w:tcPr>
            <w:tcW w:type="dxa" w:w="1728"/>
            <w:shd w:val="clear" w:color="auto" w:fill="F5F7FA"/>
          </w:tcPr>
          <w:p>
            <w:pPr>
              <w:spacing w:after="20"/>
            </w:pPr>
            <w:r/>
            <w:r>
              <w:rPr>
                <w:sz w:val="18"/>
              </w:rPr>
              <w:t>0.08591</w:t>
            </w:r>
          </w:p>
        </w:tc>
        <w:tc>
          <w:tcPr>
            <w:tcW w:type="dxa" w:w="1872"/>
            <w:shd w:val="clear" w:color="auto" w:fill="F5F7FA"/>
          </w:tcPr>
          <w:p>
            <w:pPr>
              <w:spacing w:after="20"/>
            </w:pPr>
            <w:r/>
            <w:r>
              <w:rPr>
                <w:sz w:val="18"/>
              </w:rPr>
              <w:t>8.62%</w:t>
            </w:r>
          </w:p>
        </w:tc>
      </w:tr>
      <w:tr>
        <w:tc>
          <w:tcPr>
            <w:tcW w:type="dxa" w:w="576"/>
          </w:tcPr>
          <w:p>
            <w:pPr>
              <w:spacing w:after="20"/>
            </w:pPr>
            <w:r/>
            <w:r>
              <w:rPr>
                <w:sz w:val="18"/>
              </w:rPr>
              <w:t>5</w:t>
            </w:r>
          </w:p>
        </w:tc>
        <w:tc>
          <w:tcPr>
            <w:tcW w:type="dxa" w:w="3456"/>
          </w:tcPr>
          <w:p>
            <w:pPr>
              <w:spacing w:after="20"/>
            </w:pPr>
            <w:r/>
            <w:r>
              <w:rPr>
                <w:sz w:val="18"/>
              </w:rPr>
              <w:t>digit_containment</w:t>
            </w:r>
          </w:p>
        </w:tc>
        <w:tc>
          <w:tcPr>
            <w:tcW w:type="dxa" w:w="1728"/>
          </w:tcPr>
          <w:p>
            <w:pPr>
              <w:spacing w:after="20"/>
            </w:pPr>
            <w:r/>
            <w:r>
              <w:rPr>
                <w:sz w:val="18"/>
              </w:rPr>
              <w:t>0.03968</w:t>
            </w:r>
          </w:p>
        </w:tc>
        <w:tc>
          <w:tcPr>
            <w:tcW w:type="dxa" w:w="1872"/>
          </w:tcPr>
          <w:p>
            <w:pPr>
              <w:spacing w:after="20"/>
            </w:pPr>
            <w:r/>
            <w:r>
              <w:rPr>
                <w:sz w:val="18"/>
              </w:rPr>
              <w:t>3.98%</w:t>
            </w:r>
          </w:p>
        </w:tc>
      </w:tr>
      <w:tr>
        <w:tc>
          <w:tcPr>
            <w:tcW w:type="dxa" w:w="576"/>
            <w:shd w:val="clear" w:color="auto" w:fill="F5F7FA"/>
          </w:tcPr>
          <w:p>
            <w:pPr>
              <w:spacing w:after="20"/>
            </w:pPr>
            <w:r/>
            <w:r>
              <w:rPr>
                <w:sz w:val="18"/>
              </w:rPr>
              <w:t>6</w:t>
            </w:r>
          </w:p>
        </w:tc>
        <w:tc>
          <w:tcPr>
            <w:tcW w:type="dxa" w:w="3456"/>
            <w:shd w:val="clear" w:color="auto" w:fill="F5F7FA"/>
          </w:tcPr>
          <w:p>
            <w:pPr>
              <w:spacing w:after="20"/>
            </w:pPr>
            <w:r/>
            <w:r>
              <w:rPr>
                <w:sz w:val="18"/>
              </w:rPr>
              <w:t>name_ratio</w:t>
            </w:r>
          </w:p>
        </w:tc>
        <w:tc>
          <w:tcPr>
            <w:tcW w:type="dxa" w:w="1728"/>
            <w:shd w:val="clear" w:color="auto" w:fill="F5F7FA"/>
          </w:tcPr>
          <w:p>
            <w:pPr>
              <w:spacing w:after="20"/>
            </w:pPr>
            <w:r/>
            <w:r>
              <w:rPr>
                <w:sz w:val="18"/>
              </w:rPr>
              <w:t>0.02484</w:t>
            </w:r>
          </w:p>
        </w:tc>
        <w:tc>
          <w:tcPr>
            <w:tcW w:type="dxa" w:w="1872"/>
            <w:shd w:val="clear" w:color="auto" w:fill="F5F7FA"/>
          </w:tcPr>
          <w:p>
            <w:pPr>
              <w:spacing w:after="20"/>
            </w:pPr>
            <w:r/>
            <w:r>
              <w:rPr>
                <w:sz w:val="18"/>
              </w:rPr>
              <w:t>2.49%</w:t>
            </w:r>
          </w:p>
        </w:tc>
      </w:tr>
      <w:tr>
        <w:tc>
          <w:tcPr>
            <w:tcW w:type="dxa" w:w="576"/>
          </w:tcPr>
          <w:p>
            <w:pPr>
              <w:spacing w:after="20"/>
            </w:pPr>
            <w:r/>
            <w:r>
              <w:rPr>
                <w:sz w:val="18"/>
              </w:rPr>
              <w:t>7</w:t>
            </w:r>
          </w:p>
        </w:tc>
        <w:tc>
          <w:tcPr>
            <w:tcW w:type="dxa" w:w="3456"/>
          </w:tcPr>
          <w:p>
            <w:pPr>
              <w:spacing w:after="20"/>
            </w:pPr>
            <w:r/>
            <w:r>
              <w:rPr>
                <w:sz w:val="18"/>
              </w:rPr>
              <w:t>name_jaro</w:t>
            </w:r>
          </w:p>
        </w:tc>
        <w:tc>
          <w:tcPr>
            <w:tcW w:type="dxa" w:w="1728"/>
          </w:tcPr>
          <w:p>
            <w:pPr>
              <w:spacing w:after="20"/>
            </w:pPr>
            <w:r/>
            <w:r>
              <w:rPr>
                <w:sz w:val="18"/>
              </w:rPr>
              <w:t>0.02209</w:t>
            </w:r>
          </w:p>
        </w:tc>
        <w:tc>
          <w:tcPr>
            <w:tcW w:type="dxa" w:w="1872"/>
          </w:tcPr>
          <w:p>
            <w:pPr>
              <w:spacing w:after="20"/>
            </w:pPr>
            <w:r/>
            <w:r>
              <w:rPr>
                <w:sz w:val="18"/>
              </w:rPr>
              <w:t>2.22%</w:t>
            </w:r>
          </w:p>
        </w:tc>
      </w:tr>
      <w:tr>
        <w:tc>
          <w:tcPr>
            <w:tcW w:type="dxa" w:w="576"/>
            <w:shd w:val="clear" w:color="auto" w:fill="F5F7FA"/>
          </w:tcPr>
          <w:p>
            <w:pPr>
              <w:spacing w:after="20"/>
            </w:pPr>
            <w:r/>
            <w:r>
              <w:rPr>
                <w:sz w:val="18"/>
              </w:rPr>
              <w:t>8</w:t>
            </w:r>
          </w:p>
        </w:tc>
        <w:tc>
          <w:tcPr>
            <w:tcW w:type="dxa" w:w="3456"/>
            <w:shd w:val="clear" w:color="auto" w:fill="F5F7FA"/>
          </w:tcPr>
          <w:p>
            <w:pPr>
              <w:spacing w:after="20"/>
            </w:pPr>
            <w:r/>
            <w:r>
              <w:rPr>
                <w:sz w:val="18"/>
              </w:rPr>
              <w:t>digit_jaccard</w:t>
            </w:r>
          </w:p>
        </w:tc>
        <w:tc>
          <w:tcPr>
            <w:tcW w:type="dxa" w:w="1728"/>
            <w:shd w:val="clear" w:color="auto" w:fill="F5F7FA"/>
          </w:tcPr>
          <w:p>
            <w:pPr>
              <w:spacing w:after="20"/>
            </w:pPr>
            <w:r/>
            <w:r>
              <w:rPr>
                <w:sz w:val="18"/>
              </w:rPr>
              <w:t>0.02100</w:t>
            </w:r>
          </w:p>
        </w:tc>
        <w:tc>
          <w:tcPr>
            <w:tcW w:type="dxa" w:w="1872"/>
            <w:shd w:val="clear" w:color="auto" w:fill="F5F7FA"/>
          </w:tcPr>
          <w:p>
            <w:pPr>
              <w:spacing w:after="20"/>
            </w:pPr>
            <w:r/>
            <w:r>
              <w:rPr>
                <w:sz w:val="18"/>
              </w:rPr>
              <w:t>2.11%</w:t>
            </w:r>
          </w:p>
        </w:tc>
      </w:tr>
      <w:tr>
        <w:tc>
          <w:tcPr>
            <w:tcW w:type="dxa" w:w="576"/>
          </w:tcPr>
          <w:p>
            <w:pPr>
              <w:spacing w:after="20"/>
            </w:pPr>
            <w:r/>
            <w:r>
              <w:rPr>
                <w:sz w:val="18"/>
              </w:rPr>
              <w:t>9</w:t>
            </w:r>
          </w:p>
        </w:tc>
        <w:tc>
          <w:tcPr>
            <w:tcW w:type="dxa" w:w="3456"/>
          </w:tcPr>
          <w:p>
            <w:pPr>
              <w:spacing w:after="20"/>
            </w:pPr>
            <w:r/>
            <w:r>
              <w:rPr>
                <w:sz w:val="18"/>
              </w:rPr>
              <w:t>name_unshared_max_idf_c</w:t>
            </w:r>
          </w:p>
        </w:tc>
        <w:tc>
          <w:tcPr>
            <w:tcW w:type="dxa" w:w="1728"/>
          </w:tcPr>
          <w:p>
            <w:pPr>
              <w:spacing w:after="20"/>
            </w:pPr>
            <w:r/>
            <w:r>
              <w:rPr>
                <w:sz w:val="18"/>
              </w:rPr>
              <w:t>0.02079</w:t>
            </w:r>
          </w:p>
        </w:tc>
        <w:tc>
          <w:tcPr>
            <w:tcW w:type="dxa" w:w="1872"/>
          </w:tcPr>
          <w:p>
            <w:pPr>
              <w:spacing w:after="20"/>
            </w:pPr>
            <w:r/>
            <w:r>
              <w:rPr>
                <w:sz w:val="18"/>
              </w:rPr>
              <w:t>2.08%</w:t>
            </w:r>
          </w:p>
        </w:tc>
      </w:tr>
      <w:tr>
        <w:tc>
          <w:tcPr>
            <w:tcW w:type="dxa" w:w="576"/>
            <w:shd w:val="clear" w:color="auto" w:fill="F5F7FA"/>
          </w:tcPr>
          <w:p>
            <w:pPr>
              <w:spacing w:after="20"/>
            </w:pPr>
            <w:r/>
            <w:r>
              <w:rPr>
                <w:sz w:val="18"/>
              </w:rPr>
              <w:t>10</w:t>
            </w:r>
          </w:p>
        </w:tc>
        <w:tc>
          <w:tcPr>
            <w:tcW w:type="dxa" w:w="3456"/>
            <w:shd w:val="clear" w:color="auto" w:fill="F5F7FA"/>
          </w:tcPr>
          <w:p>
            <w:pPr>
              <w:spacing w:after="20"/>
            </w:pPr>
            <w:r/>
            <w:r>
              <w:rPr>
                <w:sz w:val="18"/>
              </w:rPr>
              <w:t>name_shared_sum_idf</w:t>
            </w:r>
          </w:p>
        </w:tc>
        <w:tc>
          <w:tcPr>
            <w:tcW w:type="dxa" w:w="1728"/>
            <w:shd w:val="clear" w:color="auto" w:fill="F5F7FA"/>
          </w:tcPr>
          <w:p>
            <w:pPr>
              <w:spacing w:after="20"/>
            </w:pPr>
            <w:r/>
            <w:r>
              <w:rPr>
                <w:sz w:val="18"/>
              </w:rPr>
              <w:t>0.02050</w:t>
            </w:r>
          </w:p>
        </w:tc>
        <w:tc>
          <w:tcPr>
            <w:tcW w:type="dxa" w:w="1872"/>
            <w:shd w:val="clear" w:color="auto" w:fill="F5F7FA"/>
          </w:tcPr>
          <w:p>
            <w:pPr>
              <w:spacing w:after="20"/>
            </w:pPr>
            <w:r/>
            <w:r>
              <w:rPr>
                <w:sz w:val="18"/>
              </w:rPr>
              <w:t>2.06%</w:t>
            </w:r>
          </w:p>
        </w:tc>
      </w:tr>
      <w:tr>
        <w:tc>
          <w:tcPr>
            <w:tcW w:type="dxa" w:w="576"/>
          </w:tcPr>
          <w:p>
            <w:pPr>
              <w:spacing w:after="20"/>
            </w:pPr>
            <w:r/>
            <w:r>
              <w:rPr>
                <w:sz w:val="18"/>
              </w:rPr>
              <w:t>11</w:t>
            </w:r>
          </w:p>
        </w:tc>
        <w:tc>
          <w:tcPr>
            <w:tcW w:type="dxa" w:w="3456"/>
          </w:tcPr>
          <w:p>
            <w:pPr>
              <w:spacing w:after="20"/>
            </w:pPr>
            <w:r/>
            <w:r>
              <w:rPr>
                <w:sz w:val="18"/>
              </w:rPr>
              <w:t>addr_empty_c</w:t>
            </w:r>
          </w:p>
        </w:tc>
        <w:tc>
          <w:tcPr>
            <w:tcW w:type="dxa" w:w="1728"/>
          </w:tcPr>
          <w:p>
            <w:pPr>
              <w:spacing w:after="20"/>
            </w:pPr>
            <w:r/>
            <w:r>
              <w:rPr>
                <w:sz w:val="18"/>
              </w:rPr>
              <w:t>0.01493</w:t>
            </w:r>
          </w:p>
        </w:tc>
        <w:tc>
          <w:tcPr>
            <w:tcW w:type="dxa" w:w="1872"/>
          </w:tcPr>
          <w:p>
            <w:pPr>
              <w:spacing w:after="20"/>
            </w:pPr>
            <w:r/>
            <w:r>
              <w:rPr>
                <w:sz w:val="18"/>
              </w:rPr>
              <w:t>1.50%</w:t>
            </w:r>
          </w:p>
        </w:tc>
      </w:tr>
      <w:tr>
        <w:tc>
          <w:tcPr>
            <w:tcW w:type="dxa" w:w="576"/>
            <w:shd w:val="clear" w:color="auto" w:fill="F5F7FA"/>
          </w:tcPr>
          <w:p>
            <w:pPr>
              <w:spacing w:after="20"/>
            </w:pPr>
            <w:r/>
            <w:r>
              <w:rPr>
                <w:sz w:val="18"/>
              </w:rPr>
              <w:t>12</w:t>
            </w:r>
          </w:p>
        </w:tc>
        <w:tc>
          <w:tcPr>
            <w:tcW w:type="dxa" w:w="3456"/>
            <w:shd w:val="clear" w:color="auto" w:fill="F5F7FA"/>
          </w:tcPr>
          <w:p>
            <w:pPr>
              <w:spacing w:after="20"/>
            </w:pPr>
            <w:r/>
            <w:r>
              <w:rPr>
                <w:sz w:val="18"/>
              </w:rPr>
              <w:t>block_score</w:t>
            </w:r>
          </w:p>
        </w:tc>
        <w:tc>
          <w:tcPr>
            <w:tcW w:type="dxa" w:w="1728"/>
            <w:shd w:val="clear" w:color="auto" w:fill="F5F7FA"/>
          </w:tcPr>
          <w:p>
            <w:pPr>
              <w:spacing w:after="20"/>
            </w:pPr>
            <w:r/>
            <w:r>
              <w:rPr>
                <w:sz w:val="18"/>
              </w:rPr>
              <w:t>0.01131</w:t>
            </w:r>
          </w:p>
        </w:tc>
        <w:tc>
          <w:tcPr>
            <w:tcW w:type="dxa" w:w="1872"/>
            <w:shd w:val="clear" w:color="auto" w:fill="F5F7FA"/>
          </w:tcPr>
          <w:p>
            <w:pPr>
              <w:spacing w:after="20"/>
            </w:pPr>
            <w:r/>
            <w:r>
              <w:rPr>
                <w:sz w:val="18"/>
              </w:rPr>
              <w:t>1.13%</w:t>
            </w:r>
          </w:p>
        </w:tc>
      </w:tr>
      <w:tr>
        <w:tc>
          <w:tcPr>
            <w:tcW w:type="dxa" w:w="576"/>
          </w:tcPr>
          <w:p>
            <w:pPr>
              <w:spacing w:after="20"/>
            </w:pPr>
            <w:r/>
            <w:r>
              <w:rPr>
                <w:sz w:val="18"/>
              </w:rPr>
              <w:t>13</w:t>
            </w:r>
          </w:p>
        </w:tc>
        <w:tc>
          <w:tcPr>
            <w:tcW w:type="dxa" w:w="3456"/>
          </w:tcPr>
          <w:p>
            <w:pPr>
              <w:spacing w:after="20"/>
            </w:pPr>
            <w:r/>
            <w:r>
              <w:rPr>
                <w:sz w:val="18"/>
              </w:rPr>
              <w:t>name_tok_count_c</w:t>
            </w:r>
          </w:p>
        </w:tc>
        <w:tc>
          <w:tcPr>
            <w:tcW w:type="dxa" w:w="1728"/>
          </w:tcPr>
          <w:p>
            <w:pPr>
              <w:spacing w:after="20"/>
            </w:pPr>
            <w:r/>
            <w:r>
              <w:rPr>
                <w:sz w:val="18"/>
              </w:rPr>
              <w:t>0.00921</w:t>
            </w:r>
          </w:p>
        </w:tc>
        <w:tc>
          <w:tcPr>
            <w:tcW w:type="dxa" w:w="1872"/>
          </w:tcPr>
          <w:p>
            <w:pPr>
              <w:spacing w:after="20"/>
            </w:pPr>
            <w:r/>
            <w:r>
              <w:rPr>
                <w:sz w:val="18"/>
              </w:rPr>
              <w:t>0.92%</w:t>
            </w:r>
          </w:p>
        </w:tc>
      </w:tr>
      <w:tr>
        <w:tc>
          <w:tcPr>
            <w:tcW w:type="dxa" w:w="576"/>
            <w:shd w:val="clear" w:color="auto" w:fill="F5F7FA"/>
          </w:tcPr>
          <w:p>
            <w:pPr>
              <w:spacing w:after="20"/>
            </w:pPr>
            <w:r/>
            <w:r>
              <w:rPr>
                <w:sz w:val="18"/>
              </w:rPr>
              <w:t>14</w:t>
            </w:r>
          </w:p>
        </w:tc>
        <w:tc>
          <w:tcPr>
            <w:tcW w:type="dxa" w:w="3456"/>
            <w:shd w:val="clear" w:color="auto" w:fill="F5F7FA"/>
          </w:tcPr>
          <w:p>
            <w:pPr>
              <w:spacing w:after="20"/>
            </w:pPr>
            <w:r/>
            <w:r>
              <w:rPr>
                <w:sz w:val="18"/>
              </w:rPr>
              <w:t>legal_conflict</w:t>
            </w:r>
          </w:p>
        </w:tc>
        <w:tc>
          <w:tcPr>
            <w:tcW w:type="dxa" w:w="1728"/>
            <w:shd w:val="clear" w:color="auto" w:fill="F5F7FA"/>
          </w:tcPr>
          <w:p>
            <w:pPr>
              <w:spacing w:after="20"/>
            </w:pPr>
            <w:r/>
            <w:r>
              <w:rPr>
                <w:sz w:val="18"/>
              </w:rPr>
              <w:t>0.00895</w:t>
            </w:r>
          </w:p>
        </w:tc>
        <w:tc>
          <w:tcPr>
            <w:tcW w:type="dxa" w:w="1872"/>
            <w:shd w:val="clear" w:color="auto" w:fill="F5F7FA"/>
          </w:tcPr>
          <w:p>
            <w:pPr>
              <w:spacing w:after="20"/>
            </w:pPr>
            <w:r/>
            <w:r>
              <w:rPr>
                <w:sz w:val="18"/>
              </w:rPr>
              <w:t>0.90%</w:t>
            </w:r>
          </w:p>
        </w:tc>
      </w:tr>
      <w:tr>
        <w:tc>
          <w:tcPr>
            <w:tcW w:type="dxa" w:w="576"/>
          </w:tcPr>
          <w:p>
            <w:pPr>
              <w:spacing w:after="20"/>
            </w:pPr>
            <w:r/>
            <w:r>
              <w:rPr>
                <w:sz w:val="18"/>
              </w:rPr>
              <w:t>15</w:t>
            </w:r>
          </w:p>
        </w:tc>
        <w:tc>
          <w:tcPr>
            <w:tcW w:type="dxa" w:w="3456"/>
          </w:tcPr>
          <w:p>
            <w:pPr>
              <w:spacing w:after="20"/>
            </w:pPr>
            <w:r/>
            <w:r>
              <w:rPr>
                <w:sz w:val="18"/>
              </w:rPr>
              <w:t>addr_ratio</w:t>
            </w:r>
          </w:p>
        </w:tc>
        <w:tc>
          <w:tcPr>
            <w:tcW w:type="dxa" w:w="1728"/>
          </w:tcPr>
          <w:p>
            <w:pPr>
              <w:spacing w:after="20"/>
            </w:pPr>
            <w:r/>
            <w:r>
              <w:rPr>
                <w:sz w:val="18"/>
              </w:rPr>
              <w:t>0.00887</w:t>
            </w:r>
          </w:p>
        </w:tc>
        <w:tc>
          <w:tcPr>
            <w:tcW w:type="dxa" w:w="1872"/>
          </w:tcPr>
          <w:p>
            <w:pPr>
              <w:spacing w:after="20"/>
            </w:pPr>
            <w:r/>
            <w:r>
              <w:rPr>
                <w:sz w:val="18"/>
              </w:rPr>
              <w:t>0.89%</w:t>
            </w:r>
          </w:p>
        </w:tc>
      </w:tr>
    </w:tbl>
    <w:p>
      <w:pPr>
        <w:spacing w:after="0"/>
      </w:pPr>
    </w:p>
    <w:p>
      <w:pPr>
        <w:spacing w:before="40" w:after="240"/>
      </w:pPr>
      <w:r>
        <w:rPr>
          <w:i/>
          <w:color w:val="606060"/>
          <w:sz w:val="17"/>
        </w:rPr>
        <w:t>Address containment alone carries 37.4% of stage-1 importance; the three address features inside the top four carry 58.3%, and all address features together 62.3%. Addresses are near-copies modulo reordering, so an unordered bag of canonicalised components is the dominant signal.</w:t>
      </w:r>
    </w:p>
    <w:p>
      <w:pPr>
        <w:pStyle w:val="Heading3"/>
      </w:pPr>
      <w:r>
        <w:t>3.6.2  Stage-2 permutation importance (top 10)</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576"/>
            <w:shd w:val="clear" w:color="auto" w:fill="1F3A5F"/>
          </w:tcPr>
          <w:p>
            <w:pPr>
              <w:spacing w:after="20"/>
            </w:pPr>
            <w:r/>
            <w:r>
              <w:rPr>
                <w:b/>
                <w:color w:val="FFFFFF"/>
                <w:sz w:val="18"/>
              </w:rPr>
              <w:t>#</w:t>
            </w:r>
          </w:p>
        </w:tc>
        <w:tc>
          <w:tcPr>
            <w:tcW w:type="dxa" w:w="3456"/>
            <w:shd w:val="clear" w:color="auto" w:fill="1F3A5F"/>
          </w:tcPr>
          <w:p>
            <w:pPr>
              <w:spacing w:after="20"/>
            </w:pPr>
            <w:r/>
            <w:r>
              <w:rPr>
                <w:b/>
                <w:color w:val="FFFFFF"/>
                <w:sz w:val="18"/>
              </w:rPr>
              <w:t>Feature</w:t>
            </w:r>
          </w:p>
        </w:tc>
        <w:tc>
          <w:tcPr>
            <w:tcW w:type="dxa" w:w="1728"/>
            <w:shd w:val="clear" w:color="auto" w:fill="1F3A5F"/>
          </w:tcPr>
          <w:p>
            <w:pPr>
              <w:spacing w:after="20"/>
            </w:pPr>
            <w:r/>
            <w:r>
              <w:rPr>
                <w:b/>
                <w:color w:val="FFFFFF"/>
                <w:sz w:val="18"/>
              </w:rPr>
              <w:t>importance</w:t>
            </w:r>
          </w:p>
        </w:tc>
        <w:tc>
          <w:tcPr>
            <w:tcW w:type="dxa" w:w="1872"/>
            <w:shd w:val="clear" w:color="auto" w:fill="1F3A5F"/>
          </w:tcPr>
          <w:p>
            <w:pPr>
              <w:spacing w:after="20"/>
            </w:pPr>
            <w:r/>
            <w:r>
              <w:rPr>
                <w:b/>
                <w:color w:val="FFFFFF"/>
                <w:sz w:val="18"/>
              </w:rPr>
              <w:t>share of total</w:t>
            </w:r>
          </w:p>
        </w:tc>
      </w:tr>
      <w:tr>
        <w:tc>
          <w:tcPr>
            <w:tcW w:type="dxa" w:w="576"/>
          </w:tcPr>
          <w:p>
            <w:pPr>
              <w:spacing w:after="20"/>
            </w:pPr>
            <w:r/>
            <w:r>
              <w:rPr>
                <w:sz w:val="18"/>
              </w:rPr>
              <w:t>1</w:t>
            </w:r>
          </w:p>
        </w:tc>
        <w:tc>
          <w:tcPr>
            <w:tcW w:type="dxa" w:w="3456"/>
          </w:tcPr>
          <w:p>
            <w:pPr>
              <w:spacing w:after="20"/>
            </w:pPr>
            <w:r/>
            <w:r>
              <w:rPr>
                <w:sz w:val="18"/>
              </w:rPr>
              <w:t>p1</w:t>
            </w:r>
          </w:p>
        </w:tc>
        <w:tc>
          <w:tcPr>
            <w:tcW w:type="dxa" w:w="1728"/>
          </w:tcPr>
          <w:p>
            <w:pPr>
              <w:spacing w:after="20"/>
            </w:pPr>
            <w:r/>
            <w:r>
              <w:rPr>
                <w:sz w:val="18"/>
              </w:rPr>
              <w:t>0.98473</w:t>
            </w:r>
          </w:p>
        </w:tc>
        <w:tc>
          <w:tcPr>
            <w:tcW w:type="dxa" w:w="1872"/>
          </w:tcPr>
          <w:p>
            <w:pPr>
              <w:spacing w:after="20"/>
            </w:pPr>
            <w:r/>
            <w:r>
              <w:rPr>
                <w:sz w:val="18"/>
              </w:rPr>
              <w:t>98.48%</w:t>
            </w:r>
          </w:p>
        </w:tc>
      </w:tr>
      <w:tr>
        <w:tc>
          <w:tcPr>
            <w:tcW w:type="dxa" w:w="576"/>
            <w:shd w:val="clear" w:color="auto" w:fill="F5F7FA"/>
          </w:tcPr>
          <w:p>
            <w:pPr>
              <w:spacing w:after="20"/>
            </w:pPr>
            <w:r/>
            <w:r>
              <w:rPr>
                <w:sz w:val="18"/>
              </w:rPr>
              <w:t>2</w:t>
            </w:r>
          </w:p>
        </w:tc>
        <w:tc>
          <w:tcPr>
            <w:tcW w:type="dxa" w:w="3456"/>
            <w:shd w:val="clear" w:color="auto" w:fill="F5F7FA"/>
          </w:tcPr>
          <w:p>
            <w:pPr>
              <w:spacing w:after="20"/>
            </w:pPr>
            <w:r/>
            <w:r>
              <w:rPr>
                <w:sz w:val="18"/>
              </w:rPr>
              <w:t>entity_p_margin_to_max</w:t>
            </w:r>
          </w:p>
        </w:tc>
        <w:tc>
          <w:tcPr>
            <w:tcW w:type="dxa" w:w="1728"/>
            <w:shd w:val="clear" w:color="auto" w:fill="F5F7FA"/>
          </w:tcPr>
          <w:p>
            <w:pPr>
              <w:spacing w:after="20"/>
            </w:pPr>
            <w:r/>
            <w:r>
              <w:rPr>
                <w:sz w:val="18"/>
              </w:rPr>
              <w:t>0.00420</w:t>
            </w:r>
          </w:p>
        </w:tc>
        <w:tc>
          <w:tcPr>
            <w:tcW w:type="dxa" w:w="1872"/>
            <w:shd w:val="clear" w:color="auto" w:fill="F5F7FA"/>
          </w:tcPr>
          <w:p>
            <w:pPr>
              <w:spacing w:after="20"/>
            </w:pPr>
            <w:r/>
            <w:r>
              <w:rPr>
                <w:sz w:val="18"/>
              </w:rPr>
              <w:t>0.42%</w:t>
            </w:r>
          </w:p>
        </w:tc>
      </w:tr>
      <w:tr>
        <w:tc>
          <w:tcPr>
            <w:tcW w:type="dxa" w:w="576"/>
          </w:tcPr>
          <w:p>
            <w:pPr>
              <w:spacing w:after="20"/>
            </w:pPr>
            <w:r/>
            <w:r>
              <w:rPr>
                <w:sz w:val="18"/>
              </w:rPr>
              <w:t>3</w:t>
            </w:r>
          </w:p>
        </w:tc>
        <w:tc>
          <w:tcPr>
            <w:tcW w:type="dxa" w:w="3456"/>
          </w:tcPr>
          <w:p>
            <w:pPr>
              <w:spacing w:after="20"/>
            </w:pPr>
            <w:r/>
            <w:r>
              <w:rPr>
                <w:sz w:val="18"/>
              </w:rPr>
              <w:t>compete_softmax</w:t>
            </w:r>
          </w:p>
        </w:tc>
        <w:tc>
          <w:tcPr>
            <w:tcW w:type="dxa" w:w="1728"/>
          </w:tcPr>
          <w:p>
            <w:pPr>
              <w:spacing w:after="20"/>
            </w:pPr>
            <w:r/>
            <w:r>
              <w:rPr>
                <w:sz w:val="18"/>
              </w:rPr>
              <w:t>0.00163</w:t>
            </w:r>
          </w:p>
        </w:tc>
        <w:tc>
          <w:tcPr>
            <w:tcW w:type="dxa" w:w="1872"/>
          </w:tcPr>
          <w:p>
            <w:pPr>
              <w:spacing w:after="20"/>
            </w:pPr>
            <w:r/>
            <w:r>
              <w:rPr>
                <w:sz w:val="18"/>
              </w:rPr>
              <w:t>0.16%</w:t>
            </w:r>
          </w:p>
        </w:tc>
      </w:tr>
      <w:tr>
        <w:tc>
          <w:tcPr>
            <w:tcW w:type="dxa" w:w="576"/>
            <w:shd w:val="clear" w:color="auto" w:fill="F5F7FA"/>
          </w:tcPr>
          <w:p>
            <w:pPr>
              <w:spacing w:after="20"/>
            </w:pPr>
            <w:r/>
            <w:r>
              <w:rPr>
                <w:sz w:val="18"/>
              </w:rPr>
              <w:t>4</w:t>
            </w:r>
          </w:p>
        </w:tc>
        <w:tc>
          <w:tcPr>
            <w:tcW w:type="dxa" w:w="3456"/>
            <w:shd w:val="clear" w:color="auto" w:fill="F5F7FA"/>
          </w:tcPr>
          <w:p>
            <w:pPr>
              <w:spacing w:after="20"/>
            </w:pPr>
            <w:r/>
            <w:r>
              <w:rPr>
                <w:sz w:val="18"/>
              </w:rPr>
              <w:t>cand_rank</w:t>
            </w:r>
          </w:p>
        </w:tc>
        <w:tc>
          <w:tcPr>
            <w:tcW w:type="dxa" w:w="1728"/>
            <w:shd w:val="clear" w:color="auto" w:fill="F5F7FA"/>
          </w:tcPr>
          <w:p>
            <w:pPr>
              <w:spacing w:after="20"/>
            </w:pPr>
            <w:r/>
            <w:r>
              <w:rPr>
                <w:sz w:val="18"/>
              </w:rPr>
              <w:t>0.00098</w:t>
            </w:r>
          </w:p>
        </w:tc>
        <w:tc>
          <w:tcPr>
            <w:tcW w:type="dxa" w:w="1872"/>
            <w:shd w:val="clear" w:color="auto" w:fill="F5F7FA"/>
          </w:tcPr>
          <w:p>
            <w:pPr>
              <w:spacing w:after="20"/>
            </w:pPr>
            <w:r/>
            <w:r>
              <w:rPr>
                <w:sz w:val="18"/>
              </w:rPr>
              <w:t>0.10%</w:t>
            </w:r>
          </w:p>
        </w:tc>
      </w:tr>
      <w:tr>
        <w:tc>
          <w:tcPr>
            <w:tcW w:type="dxa" w:w="576"/>
          </w:tcPr>
          <w:p>
            <w:pPr>
              <w:spacing w:after="20"/>
            </w:pPr>
            <w:r/>
            <w:r>
              <w:rPr>
                <w:sz w:val="18"/>
              </w:rPr>
              <w:t>5</w:t>
            </w:r>
          </w:p>
        </w:tc>
        <w:tc>
          <w:tcPr>
            <w:tcW w:type="dxa" w:w="3456"/>
          </w:tcPr>
          <w:p>
            <w:pPr>
              <w:spacing w:after="20"/>
            </w:pPr>
            <w:r/>
            <w:r>
              <w:rPr>
                <w:sz w:val="18"/>
              </w:rPr>
              <w:t>corr_skel_count</w:t>
            </w:r>
          </w:p>
        </w:tc>
        <w:tc>
          <w:tcPr>
            <w:tcW w:type="dxa" w:w="1728"/>
          </w:tcPr>
          <w:p>
            <w:pPr>
              <w:spacing w:after="20"/>
            </w:pPr>
            <w:r/>
            <w:r>
              <w:rPr>
                <w:sz w:val="18"/>
              </w:rPr>
              <w:t>0.00075</w:t>
            </w:r>
          </w:p>
        </w:tc>
        <w:tc>
          <w:tcPr>
            <w:tcW w:type="dxa" w:w="1872"/>
          </w:tcPr>
          <w:p>
            <w:pPr>
              <w:spacing w:after="20"/>
            </w:pPr>
            <w:r/>
            <w:r>
              <w:rPr>
                <w:sz w:val="18"/>
              </w:rPr>
              <w:t>0.08%</w:t>
            </w:r>
          </w:p>
        </w:tc>
      </w:tr>
      <w:tr>
        <w:tc>
          <w:tcPr>
            <w:tcW w:type="dxa" w:w="576"/>
            <w:shd w:val="clear" w:color="auto" w:fill="F5F7FA"/>
          </w:tcPr>
          <w:p>
            <w:pPr>
              <w:spacing w:after="20"/>
            </w:pPr>
            <w:r/>
            <w:r>
              <w:rPr>
                <w:sz w:val="18"/>
              </w:rPr>
              <w:t>6</w:t>
            </w:r>
          </w:p>
        </w:tc>
        <w:tc>
          <w:tcPr>
            <w:tcW w:type="dxa" w:w="3456"/>
            <w:shd w:val="clear" w:color="auto" w:fill="F5F7FA"/>
          </w:tcPr>
          <w:p>
            <w:pPr>
              <w:spacing w:after="20"/>
            </w:pPr>
            <w:r/>
            <w:r>
              <w:rPr>
                <w:sz w:val="18"/>
              </w:rPr>
              <w:t>entity_source_p_max</w:t>
            </w:r>
          </w:p>
        </w:tc>
        <w:tc>
          <w:tcPr>
            <w:tcW w:type="dxa" w:w="1728"/>
            <w:shd w:val="clear" w:color="auto" w:fill="F5F7FA"/>
          </w:tcPr>
          <w:p>
            <w:pPr>
              <w:spacing w:after="20"/>
            </w:pPr>
            <w:r/>
            <w:r>
              <w:rPr>
                <w:sz w:val="18"/>
              </w:rPr>
              <w:t>0.00070</w:t>
            </w:r>
          </w:p>
        </w:tc>
        <w:tc>
          <w:tcPr>
            <w:tcW w:type="dxa" w:w="1872"/>
            <w:shd w:val="clear" w:color="auto" w:fill="F5F7FA"/>
          </w:tcPr>
          <w:p>
            <w:pPr>
              <w:spacing w:after="20"/>
            </w:pPr>
            <w:r/>
            <w:r>
              <w:rPr>
                <w:sz w:val="18"/>
              </w:rPr>
              <w:t>0.07%</w:t>
            </w:r>
          </w:p>
        </w:tc>
      </w:tr>
      <w:tr>
        <w:tc>
          <w:tcPr>
            <w:tcW w:type="dxa" w:w="576"/>
          </w:tcPr>
          <w:p>
            <w:pPr>
              <w:spacing w:after="20"/>
            </w:pPr>
            <w:r/>
            <w:r>
              <w:rPr>
                <w:sz w:val="18"/>
              </w:rPr>
              <w:t>7</w:t>
            </w:r>
          </w:p>
        </w:tc>
        <w:tc>
          <w:tcPr>
            <w:tcW w:type="dxa" w:w="3456"/>
          </w:tcPr>
          <w:p>
            <w:pPr>
              <w:spacing w:after="20"/>
            </w:pPr>
            <w:r/>
            <w:r>
              <w:rPr>
                <w:sz w:val="18"/>
              </w:rPr>
              <w:t>entity_p_max</w:t>
            </w:r>
          </w:p>
        </w:tc>
        <w:tc>
          <w:tcPr>
            <w:tcW w:type="dxa" w:w="1728"/>
          </w:tcPr>
          <w:p>
            <w:pPr>
              <w:spacing w:after="20"/>
            </w:pPr>
            <w:r/>
            <w:r>
              <w:rPr>
                <w:sz w:val="18"/>
              </w:rPr>
              <w:t>0.00069</w:t>
            </w:r>
          </w:p>
        </w:tc>
        <w:tc>
          <w:tcPr>
            <w:tcW w:type="dxa" w:w="1872"/>
          </w:tcPr>
          <w:p>
            <w:pPr>
              <w:spacing w:after="20"/>
            </w:pPr>
            <w:r/>
            <w:r>
              <w:rPr>
                <w:sz w:val="18"/>
              </w:rPr>
              <w:t>0.07%</w:t>
            </w:r>
          </w:p>
        </w:tc>
      </w:tr>
      <w:tr>
        <w:tc>
          <w:tcPr>
            <w:tcW w:type="dxa" w:w="576"/>
            <w:shd w:val="clear" w:color="auto" w:fill="F5F7FA"/>
          </w:tcPr>
          <w:p>
            <w:pPr>
              <w:spacing w:after="20"/>
            </w:pPr>
            <w:r/>
            <w:r>
              <w:rPr>
                <w:sz w:val="18"/>
              </w:rPr>
              <w:t>8</w:t>
            </w:r>
          </w:p>
        </w:tc>
        <w:tc>
          <w:tcPr>
            <w:tcW w:type="dxa" w:w="3456"/>
            <w:shd w:val="clear" w:color="auto" w:fill="F5F7FA"/>
          </w:tcPr>
          <w:p>
            <w:pPr>
              <w:spacing w:after="20"/>
            </w:pPr>
            <w:r/>
            <w:r>
              <w:rPr>
                <w:sz w:val="18"/>
              </w:rPr>
              <w:t>name_shared_max_idf</w:t>
            </w:r>
          </w:p>
        </w:tc>
        <w:tc>
          <w:tcPr>
            <w:tcW w:type="dxa" w:w="1728"/>
            <w:shd w:val="clear" w:color="auto" w:fill="F5F7FA"/>
          </w:tcPr>
          <w:p>
            <w:pPr>
              <w:spacing w:after="20"/>
            </w:pPr>
            <w:r/>
            <w:r>
              <w:rPr>
                <w:sz w:val="18"/>
              </w:rPr>
              <w:t>0.00066</w:t>
            </w:r>
          </w:p>
        </w:tc>
        <w:tc>
          <w:tcPr>
            <w:tcW w:type="dxa" w:w="1872"/>
            <w:shd w:val="clear" w:color="auto" w:fill="F5F7FA"/>
          </w:tcPr>
          <w:p>
            <w:pPr>
              <w:spacing w:after="20"/>
            </w:pPr>
            <w:r/>
            <w:r>
              <w:rPr>
                <w:sz w:val="18"/>
              </w:rPr>
              <w:t>0.07%</w:t>
            </w:r>
          </w:p>
        </w:tc>
      </w:tr>
      <w:tr>
        <w:tc>
          <w:tcPr>
            <w:tcW w:type="dxa" w:w="576"/>
          </w:tcPr>
          <w:p>
            <w:pPr>
              <w:spacing w:after="20"/>
            </w:pPr>
            <w:r/>
            <w:r>
              <w:rPr>
                <w:sz w:val="18"/>
              </w:rPr>
              <w:t>9</w:t>
            </w:r>
          </w:p>
        </w:tc>
        <w:tc>
          <w:tcPr>
            <w:tcW w:type="dxa" w:w="3456"/>
          </w:tcPr>
          <w:p>
            <w:pPr>
              <w:spacing w:after="20"/>
            </w:pPr>
            <w:r/>
            <w:r>
              <w:rPr>
                <w:sz w:val="18"/>
              </w:rPr>
              <w:t>name_shared_sum_idf</w:t>
            </w:r>
          </w:p>
        </w:tc>
        <w:tc>
          <w:tcPr>
            <w:tcW w:type="dxa" w:w="1728"/>
          </w:tcPr>
          <w:p>
            <w:pPr>
              <w:spacing w:after="20"/>
            </w:pPr>
            <w:r/>
            <w:r>
              <w:rPr>
                <w:sz w:val="18"/>
              </w:rPr>
              <w:t>0.00065</w:t>
            </w:r>
          </w:p>
        </w:tc>
        <w:tc>
          <w:tcPr>
            <w:tcW w:type="dxa" w:w="1872"/>
          </w:tcPr>
          <w:p>
            <w:pPr>
              <w:spacing w:after="20"/>
            </w:pPr>
            <w:r/>
            <w:r>
              <w:rPr>
                <w:sz w:val="18"/>
              </w:rPr>
              <w:t>0.06%</w:t>
            </w:r>
          </w:p>
        </w:tc>
      </w:tr>
      <w:tr>
        <w:tc>
          <w:tcPr>
            <w:tcW w:type="dxa" w:w="576"/>
            <w:shd w:val="clear" w:color="auto" w:fill="F5F7FA"/>
          </w:tcPr>
          <w:p>
            <w:pPr>
              <w:spacing w:after="20"/>
            </w:pPr>
            <w:r/>
            <w:r>
              <w:rPr>
                <w:sz w:val="18"/>
              </w:rPr>
              <w:t>10</w:t>
            </w:r>
          </w:p>
        </w:tc>
        <w:tc>
          <w:tcPr>
            <w:tcW w:type="dxa" w:w="3456"/>
            <w:shd w:val="clear" w:color="auto" w:fill="F5F7FA"/>
          </w:tcPr>
          <w:p>
            <w:pPr>
              <w:spacing w:after="20"/>
            </w:pPr>
            <w:r/>
            <w:r>
              <w:rPr>
                <w:sz w:val="18"/>
              </w:rPr>
              <w:t>other_source_best_p</w:t>
            </w:r>
          </w:p>
        </w:tc>
        <w:tc>
          <w:tcPr>
            <w:tcW w:type="dxa" w:w="1728"/>
            <w:shd w:val="clear" w:color="auto" w:fill="F5F7FA"/>
          </w:tcPr>
          <w:p>
            <w:pPr>
              <w:spacing w:after="20"/>
            </w:pPr>
            <w:r/>
            <w:r>
              <w:rPr>
                <w:sz w:val="18"/>
              </w:rPr>
              <w:t>0.00058</w:t>
            </w:r>
          </w:p>
        </w:tc>
        <w:tc>
          <w:tcPr>
            <w:tcW w:type="dxa" w:w="1872"/>
            <w:shd w:val="clear" w:color="auto" w:fill="F5F7FA"/>
          </w:tcPr>
          <w:p>
            <w:pPr>
              <w:spacing w:after="20"/>
            </w:pPr>
            <w:r/>
            <w:r>
              <w:rPr>
                <w:sz w:val="18"/>
              </w:rPr>
              <w:t>0.06%</w:t>
            </w:r>
          </w:p>
        </w:tc>
      </w:tr>
    </w:tbl>
    <w:p>
      <w:pPr>
        <w:spacing w:after="0"/>
      </w:pPr>
    </w:p>
    <w:p>
      <w:pPr>
        <w:spacing w:before="40" w:after="240"/>
      </w:pPr>
      <w:r>
        <w:rPr>
          <w:i/>
          <w:color w:val="606060"/>
          <w:sz w:val="17"/>
        </w:rPr>
        <w:t>Stage 2 is dominated by the stage-1 probability p1 at about 98.5% of importance. The next two contributors are competition features - entity_p_margin_to_max and compete_softmax - which is the predicted behaviour of Stage R, but their magnitude confirms the graph stage is not yet load-bearing.</w:t>
      </w:r>
    </w:p>
    <w:p>
      <w:pPr>
        <w:pStyle w:val="Heading3"/>
      </w:pPr>
      <w:r>
        <w:t>3.6.3  Single-feature discriminative power (top 15 by AUC)</w:t>
      </w:r>
    </w:p>
    <w:tbl>
      <w:tblPr>
        <w:tblStyle w:val="TableGrid"/>
        <w:tblW w:type="auto" w:w="0"/>
        <w:jc w:val="center"/>
        <w:tblLayout w:type="autofit"/>
        <w:tblLook w:firstColumn="1" w:firstRow="1" w:lastColumn="0" w:lastRow="0" w:noHBand="0" w:noVBand="1" w:val="04A0"/>
      </w:tblPr>
      <w:tblGrid>
        <w:gridCol w:w="1901"/>
        <w:gridCol w:w="1901"/>
        <w:gridCol w:w="1901"/>
        <w:gridCol w:w="1901"/>
        <w:gridCol w:w="1901"/>
      </w:tblGrid>
      <w:tr>
        <w:tc>
          <w:tcPr>
            <w:tcW w:type="dxa" w:w="576"/>
            <w:shd w:val="clear" w:color="auto" w:fill="1F3A5F"/>
          </w:tcPr>
          <w:p>
            <w:pPr>
              <w:spacing w:after="20"/>
            </w:pPr>
            <w:r/>
            <w:r>
              <w:rPr>
                <w:b/>
                <w:color w:val="FFFFFF"/>
                <w:sz w:val="18"/>
              </w:rPr>
              <w:t>#</w:t>
            </w:r>
          </w:p>
        </w:tc>
        <w:tc>
          <w:tcPr>
            <w:tcW w:type="dxa" w:w="2880"/>
            <w:shd w:val="clear" w:color="auto" w:fill="1F3A5F"/>
          </w:tcPr>
          <w:p>
            <w:pPr>
              <w:spacing w:after="20"/>
            </w:pPr>
            <w:r/>
            <w:r>
              <w:rPr>
                <w:b/>
                <w:color w:val="FFFFFF"/>
                <w:sz w:val="18"/>
              </w:rPr>
              <w:t>Feature</w:t>
            </w:r>
          </w:p>
        </w:tc>
        <w:tc>
          <w:tcPr>
            <w:tcW w:type="dxa" w:w="1584"/>
            <w:shd w:val="clear" w:color="auto" w:fill="1F3A5F"/>
          </w:tcPr>
          <w:p>
            <w:pPr>
              <w:spacing w:after="20"/>
            </w:pPr>
            <w:r/>
            <w:r>
              <w:rPr>
                <w:b/>
                <w:color w:val="FFFFFF"/>
                <w:sz w:val="18"/>
              </w:rPr>
              <w:t>positive mean</w:t>
            </w:r>
          </w:p>
        </w:tc>
        <w:tc>
          <w:tcPr>
            <w:tcW w:type="dxa" w:w="1584"/>
            <w:shd w:val="clear" w:color="auto" w:fill="1F3A5F"/>
          </w:tcPr>
          <w:p>
            <w:pPr>
              <w:spacing w:after="20"/>
            </w:pPr>
            <w:r/>
            <w:r>
              <w:rPr>
                <w:b/>
                <w:color w:val="FFFFFF"/>
                <w:sz w:val="18"/>
              </w:rPr>
              <w:t>negative mean</w:t>
            </w:r>
          </w:p>
        </w:tc>
        <w:tc>
          <w:tcPr>
            <w:tcW w:type="dxa" w:w="1872"/>
            <w:shd w:val="clear" w:color="auto" w:fill="1F3A5F"/>
          </w:tcPr>
          <w:p>
            <w:pPr>
              <w:spacing w:after="20"/>
            </w:pPr>
            <w:r/>
            <w:r>
              <w:rPr>
                <w:b/>
                <w:color w:val="FFFFFF"/>
                <w:sz w:val="18"/>
              </w:rPr>
              <w:t>single-feature AUC</w:t>
            </w:r>
          </w:p>
        </w:tc>
      </w:tr>
      <w:tr>
        <w:tc>
          <w:tcPr>
            <w:tcW w:type="dxa" w:w="576"/>
          </w:tcPr>
          <w:p>
            <w:pPr>
              <w:spacing w:after="20"/>
            </w:pPr>
            <w:r/>
            <w:r>
              <w:rPr>
                <w:sz w:val="18"/>
              </w:rPr>
              <w:t>1</w:t>
            </w:r>
          </w:p>
        </w:tc>
        <w:tc>
          <w:tcPr>
            <w:tcW w:type="dxa" w:w="2880"/>
          </w:tcPr>
          <w:p>
            <w:pPr>
              <w:spacing w:after="20"/>
            </w:pPr>
            <w:r/>
            <w:r>
              <w:rPr>
                <w:sz w:val="18"/>
              </w:rPr>
              <w:t>addr_jaccard</w:t>
            </w:r>
          </w:p>
        </w:tc>
        <w:tc>
          <w:tcPr>
            <w:tcW w:type="dxa" w:w="1584"/>
          </w:tcPr>
          <w:p>
            <w:pPr>
              <w:spacing w:after="20"/>
            </w:pPr>
            <w:r/>
            <w:r>
              <w:rPr>
                <w:sz w:val="18"/>
              </w:rPr>
              <w:t>0.8049</w:t>
            </w:r>
          </w:p>
        </w:tc>
        <w:tc>
          <w:tcPr>
            <w:tcW w:type="dxa" w:w="1584"/>
          </w:tcPr>
          <w:p>
            <w:pPr>
              <w:spacing w:after="20"/>
            </w:pPr>
            <w:r/>
            <w:r>
              <w:rPr>
                <w:sz w:val="18"/>
              </w:rPr>
              <w:t>0.1364</w:t>
            </w:r>
          </w:p>
        </w:tc>
        <w:tc>
          <w:tcPr>
            <w:tcW w:type="dxa" w:w="1872"/>
          </w:tcPr>
          <w:p>
            <w:pPr>
              <w:spacing w:after="20"/>
            </w:pPr>
            <w:r/>
            <w:r>
              <w:rPr>
                <w:sz w:val="18"/>
              </w:rPr>
              <w:t>0.94436</w:t>
            </w:r>
          </w:p>
        </w:tc>
      </w:tr>
      <w:tr>
        <w:tc>
          <w:tcPr>
            <w:tcW w:type="dxa" w:w="576"/>
            <w:shd w:val="clear" w:color="auto" w:fill="F5F7FA"/>
          </w:tcPr>
          <w:p>
            <w:pPr>
              <w:spacing w:after="20"/>
            </w:pPr>
            <w:r/>
            <w:r>
              <w:rPr>
                <w:sz w:val="18"/>
              </w:rPr>
              <w:t>2</w:t>
            </w:r>
          </w:p>
        </w:tc>
        <w:tc>
          <w:tcPr>
            <w:tcW w:type="dxa" w:w="2880"/>
            <w:shd w:val="clear" w:color="auto" w:fill="F5F7FA"/>
          </w:tcPr>
          <w:p>
            <w:pPr>
              <w:spacing w:after="20"/>
            </w:pPr>
            <w:r/>
            <w:r>
              <w:rPr>
                <w:sz w:val="18"/>
              </w:rPr>
              <w:t>addr_idf_cosine</w:t>
            </w:r>
          </w:p>
        </w:tc>
        <w:tc>
          <w:tcPr>
            <w:tcW w:type="dxa" w:w="1584"/>
            <w:shd w:val="clear" w:color="auto" w:fill="F5F7FA"/>
          </w:tcPr>
          <w:p>
            <w:pPr>
              <w:spacing w:after="20"/>
            </w:pPr>
            <w:r/>
            <w:r>
              <w:rPr>
                <w:sz w:val="18"/>
              </w:rPr>
              <w:t>0.8663</w:t>
            </w:r>
          </w:p>
        </w:tc>
        <w:tc>
          <w:tcPr>
            <w:tcW w:type="dxa" w:w="1584"/>
            <w:shd w:val="clear" w:color="auto" w:fill="F5F7FA"/>
          </w:tcPr>
          <w:p>
            <w:pPr>
              <w:spacing w:after="20"/>
            </w:pPr>
            <w:r/>
            <w:r>
              <w:rPr>
                <w:sz w:val="18"/>
              </w:rPr>
              <w:t>0.1563</w:t>
            </w:r>
          </w:p>
        </w:tc>
        <w:tc>
          <w:tcPr>
            <w:tcW w:type="dxa" w:w="1872"/>
            <w:shd w:val="clear" w:color="auto" w:fill="F5F7FA"/>
          </w:tcPr>
          <w:p>
            <w:pPr>
              <w:spacing w:after="20"/>
            </w:pPr>
            <w:r/>
            <w:r>
              <w:rPr>
                <w:sz w:val="18"/>
              </w:rPr>
              <w:t>0.94014</w:t>
            </w:r>
          </w:p>
        </w:tc>
      </w:tr>
      <w:tr>
        <w:tc>
          <w:tcPr>
            <w:tcW w:type="dxa" w:w="576"/>
          </w:tcPr>
          <w:p>
            <w:pPr>
              <w:spacing w:after="20"/>
            </w:pPr>
            <w:r/>
            <w:r>
              <w:rPr>
                <w:sz w:val="18"/>
              </w:rPr>
              <w:t>3</w:t>
            </w:r>
          </w:p>
        </w:tc>
        <w:tc>
          <w:tcPr>
            <w:tcW w:type="dxa" w:w="2880"/>
          </w:tcPr>
          <w:p>
            <w:pPr>
              <w:spacing w:after="20"/>
            </w:pPr>
            <w:r/>
            <w:r>
              <w:rPr>
                <w:sz w:val="18"/>
              </w:rPr>
              <w:t>addr_containment</w:t>
            </w:r>
          </w:p>
        </w:tc>
        <w:tc>
          <w:tcPr>
            <w:tcW w:type="dxa" w:w="1584"/>
          </w:tcPr>
          <w:p>
            <w:pPr>
              <w:spacing w:after="20"/>
            </w:pPr>
            <w:r/>
            <w:r>
              <w:rPr>
                <w:sz w:val="18"/>
              </w:rPr>
              <w:t>0.9163</w:t>
            </w:r>
          </w:p>
        </w:tc>
        <w:tc>
          <w:tcPr>
            <w:tcW w:type="dxa" w:w="1584"/>
          </w:tcPr>
          <w:p>
            <w:pPr>
              <w:spacing w:after="20"/>
            </w:pPr>
            <w:r/>
            <w:r>
              <w:rPr>
                <w:sz w:val="18"/>
              </w:rPr>
              <w:t>0.2264</w:t>
            </w:r>
          </w:p>
        </w:tc>
        <w:tc>
          <w:tcPr>
            <w:tcW w:type="dxa" w:w="1872"/>
          </w:tcPr>
          <w:p>
            <w:pPr>
              <w:spacing w:after="20"/>
            </w:pPr>
            <w:r/>
            <w:r>
              <w:rPr>
                <w:sz w:val="18"/>
              </w:rPr>
              <w:t>0.93979</w:t>
            </w:r>
          </w:p>
        </w:tc>
      </w:tr>
      <w:tr>
        <w:tc>
          <w:tcPr>
            <w:tcW w:type="dxa" w:w="576"/>
            <w:shd w:val="clear" w:color="auto" w:fill="F5F7FA"/>
          </w:tcPr>
          <w:p>
            <w:pPr>
              <w:spacing w:after="20"/>
            </w:pPr>
            <w:r/>
            <w:r>
              <w:rPr>
                <w:sz w:val="18"/>
              </w:rPr>
              <w:t>4</w:t>
            </w:r>
          </w:p>
        </w:tc>
        <w:tc>
          <w:tcPr>
            <w:tcW w:type="dxa" w:w="2880"/>
            <w:shd w:val="clear" w:color="auto" w:fill="F5F7FA"/>
          </w:tcPr>
          <w:p>
            <w:pPr>
              <w:spacing w:after="20"/>
            </w:pPr>
            <w:r/>
            <w:r>
              <w:rPr>
                <w:sz w:val="18"/>
              </w:rPr>
              <w:t>addr_token_set</w:t>
            </w:r>
          </w:p>
        </w:tc>
        <w:tc>
          <w:tcPr>
            <w:tcW w:type="dxa" w:w="1584"/>
            <w:shd w:val="clear" w:color="auto" w:fill="F5F7FA"/>
          </w:tcPr>
          <w:p>
            <w:pPr>
              <w:spacing w:after="20"/>
            </w:pPr>
            <w:r/>
            <w:r>
              <w:rPr>
                <w:sz w:val="18"/>
              </w:rPr>
              <w:t>0.9460</w:t>
            </w:r>
          </w:p>
        </w:tc>
        <w:tc>
          <w:tcPr>
            <w:tcW w:type="dxa" w:w="1584"/>
            <w:shd w:val="clear" w:color="auto" w:fill="F5F7FA"/>
          </w:tcPr>
          <w:p>
            <w:pPr>
              <w:spacing w:after="20"/>
            </w:pPr>
            <w:r/>
            <w:r>
              <w:rPr>
                <w:sz w:val="18"/>
              </w:rPr>
              <w:t>0.4714</w:t>
            </w:r>
          </w:p>
        </w:tc>
        <w:tc>
          <w:tcPr>
            <w:tcW w:type="dxa" w:w="1872"/>
            <w:shd w:val="clear" w:color="auto" w:fill="F5F7FA"/>
          </w:tcPr>
          <w:p>
            <w:pPr>
              <w:spacing w:after="20"/>
            </w:pPr>
            <w:r/>
            <w:r>
              <w:rPr>
                <w:sz w:val="18"/>
              </w:rPr>
              <w:t>0.93422</w:t>
            </w:r>
          </w:p>
        </w:tc>
      </w:tr>
      <w:tr>
        <w:tc>
          <w:tcPr>
            <w:tcW w:type="dxa" w:w="576"/>
          </w:tcPr>
          <w:p>
            <w:pPr>
              <w:spacing w:after="20"/>
            </w:pPr>
            <w:r/>
            <w:r>
              <w:rPr>
                <w:sz w:val="18"/>
              </w:rPr>
              <w:t>5</w:t>
            </w:r>
          </w:p>
        </w:tc>
        <w:tc>
          <w:tcPr>
            <w:tcW w:type="dxa" w:w="2880"/>
          </w:tcPr>
          <w:p>
            <w:pPr>
              <w:spacing w:after="20"/>
            </w:pPr>
            <w:r/>
            <w:r>
              <w:rPr>
                <w:sz w:val="18"/>
              </w:rPr>
              <w:t>addr_n_shared</w:t>
            </w:r>
          </w:p>
        </w:tc>
        <w:tc>
          <w:tcPr>
            <w:tcW w:type="dxa" w:w="1584"/>
          </w:tcPr>
          <w:p>
            <w:pPr>
              <w:spacing w:after="20"/>
            </w:pPr>
            <w:r/>
            <w:r>
              <w:rPr>
                <w:sz w:val="18"/>
              </w:rPr>
              <w:t>5.6088</w:t>
            </w:r>
          </w:p>
        </w:tc>
        <w:tc>
          <w:tcPr>
            <w:tcW w:type="dxa" w:w="1584"/>
          </w:tcPr>
          <w:p>
            <w:pPr>
              <w:spacing w:after="20"/>
            </w:pPr>
            <w:r/>
            <w:r>
              <w:rPr>
                <w:sz w:val="18"/>
              </w:rPr>
              <w:t>1.2484</w:t>
            </w:r>
          </w:p>
        </w:tc>
        <w:tc>
          <w:tcPr>
            <w:tcW w:type="dxa" w:w="1872"/>
          </w:tcPr>
          <w:p>
            <w:pPr>
              <w:spacing w:after="20"/>
            </w:pPr>
            <w:r/>
            <w:r>
              <w:rPr>
                <w:sz w:val="18"/>
              </w:rPr>
              <w:t>0.91994</w:t>
            </w:r>
          </w:p>
        </w:tc>
      </w:tr>
      <w:tr>
        <w:tc>
          <w:tcPr>
            <w:tcW w:type="dxa" w:w="576"/>
            <w:shd w:val="clear" w:color="auto" w:fill="F5F7FA"/>
          </w:tcPr>
          <w:p>
            <w:pPr>
              <w:spacing w:after="20"/>
            </w:pPr>
            <w:r/>
            <w:r>
              <w:rPr>
                <w:sz w:val="18"/>
              </w:rPr>
              <w:t>6</w:t>
            </w:r>
          </w:p>
        </w:tc>
        <w:tc>
          <w:tcPr>
            <w:tcW w:type="dxa" w:w="2880"/>
            <w:shd w:val="clear" w:color="auto" w:fill="F5F7FA"/>
          </w:tcPr>
          <w:p>
            <w:pPr>
              <w:spacing w:after="20"/>
            </w:pPr>
            <w:r/>
            <w:r>
              <w:rPr>
                <w:sz w:val="18"/>
              </w:rPr>
              <w:t>addr_ratio</w:t>
            </w:r>
          </w:p>
        </w:tc>
        <w:tc>
          <w:tcPr>
            <w:tcW w:type="dxa" w:w="1584"/>
            <w:shd w:val="clear" w:color="auto" w:fill="F5F7FA"/>
          </w:tcPr>
          <w:p>
            <w:pPr>
              <w:spacing w:after="20"/>
            </w:pPr>
            <w:r/>
            <w:r>
              <w:rPr>
                <w:sz w:val="18"/>
              </w:rPr>
              <w:t>0.8182</w:t>
            </w:r>
          </w:p>
        </w:tc>
        <w:tc>
          <w:tcPr>
            <w:tcW w:type="dxa" w:w="1584"/>
            <w:shd w:val="clear" w:color="auto" w:fill="F5F7FA"/>
          </w:tcPr>
          <w:p>
            <w:pPr>
              <w:spacing w:after="20"/>
            </w:pPr>
            <w:r/>
            <w:r>
              <w:rPr>
                <w:sz w:val="18"/>
              </w:rPr>
              <w:t>0.4208</w:t>
            </w:r>
          </w:p>
        </w:tc>
        <w:tc>
          <w:tcPr>
            <w:tcW w:type="dxa" w:w="1872"/>
            <w:shd w:val="clear" w:color="auto" w:fill="F5F7FA"/>
          </w:tcPr>
          <w:p>
            <w:pPr>
              <w:spacing w:after="20"/>
            </w:pPr>
            <w:r/>
            <w:r>
              <w:rPr>
                <w:sz w:val="18"/>
              </w:rPr>
              <w:t>0.91689</w:t>
            </w:r>
          </w:p>
        </w:tc>
      </w:tr>
      <w:tr>
        <w:tc>
          <w:tcPr>
            <w:tcW w:type="dxa" w:w="576"/>
          </w:tcPr>
          <w:p>
            <w:pPr>
              <w:spacing w:after="20"/>
            </w:pPr>
            <w:r/>
            <w:r>
              <w:rPr>
                <w:sz w:val="18"/>
              </w:rPr>
              <w:t>7</w:t>
            </w:r>
          </w:p>
        </w:tc>
        <w:tc>
          <w:tcPr>
            <w:tcW w:type="dxa" w:w="2880"/>
          </w:tcPr>
          <w:p>
            <w:pPr>
              <w:spacing w:after="20"/>
            </w:pPr>
            <w:r/>
            <w:r>
              <w:rPr>
                <w:sz w:val="18"/>
              </w:rPr>
              <w:t>addr_shared_max_idf</w:t>
            </w:r>
          </w:p>
        </w:tc>
        <w:tc>
          <w:tcPr>
            <w:tcW w:type="dxa" w:w="1584"/>
          </w:tcPr>
          <w:p>
            <w:pPr>
              <w:spacing w:after="20"/>
            </w:pPr>
            <w:r/>
            <w:r>
              <w:rPr>
                <w:sz w:val="18"/>
              </w:rPr>
              <w:t>10.2189</w:t>
            </w:r>
          </w:p>
        </w:tc>
        <w:tc>
          <w:tcPr>
            <w:tcW w:type="dxa" w:w="1584"/>
          </w:tcPr>
          <w:p>
            <w:pPr>
              <w:spacing w:after="20"/>
            </w:pPr>
            <w:r/>
            <w:r>
              <w:rPr>
                <w:sz w:val="18"/>
              </w:rPr>
              <w:t>3.4368</w:t>
            </w:r>
          </w:p>
        </w:tc>
        <w:tc>
          <w:tcPr>
            <w:tcW w:type="dxa" w:w="1872"/>
          </w:tcPr>
          <w:p>
            <w:pPr>
              <w:spacing w:after="20"/>
            </w:pPr>
            <w:r/>
            <w:r>
              <w:rPr>
                <w:sz w:val="18"/>
              </w:rPr>
              <w:t>0.88497</w:t>
            </w:r>
          </w:p>
        </w:tc>
      </w:tr>
      <w:tr>
        <w:tc>
          <w:tcPr>
            <w:tcW w:type="dxa" w:w="576"/>
            <w:shd w:val="clear" w:color="auto" w:fill="F5F7FA"/>
          </w:tcPr>
          <w:p>
            <w:pPr>
              <w:spacing w:after="20"/>
            </w:pPr>
            <w:r/>
            <w:r>
              <w:rPr>
                <w:sz w:val="18"/>
              </w:rPr>
              <w:t>8</w:t>
            </w:r>
          </w:p>
        </w:tc>
        <w:tc>
          <w:tcPr>
            <w:tcW w:type="dxa" w:w="2880"/>
            <w:shd w:val="clear" w:color="auto" w:fill="F5F7FA"/>
          </w:tcPr>
          <w:p>
            <w:pPr>
              <w:spacing w:after="20"/>
            </w:pPr>
            <w:r/>
            <w:r>
              <w:rPr>
                <w:sz w:val="18"/>
              </w:rPr>
              <w:t>name_shared_sum_idf</w:t>
            </w:r>
          </w:p>
        </w:tc>
        <w:tc>
          <w:tcPr>
            <w:tcW w:type="dxa" w:w="1584"/>
            <w:shd w:val="clear" w:color="auto" w:fill="F5F7FA"/>
          </w:tcPr>
          <w:p>
            <w:pPr>
              <w:spacing w:after="20"/>
            </w:pPr>
            <w:r/>
            <w:r>
              <w:rPr>
                <w:sz w:val="18"/>
              </w:rPr>
              <w:t>17.0860</w:t>
            </w:r>
          </w:p>
        </w:tc>
        <w:tc>
          <w:tcPr>
            <w:tcW w:type="dxa" w:w="1584"/>
            <w:shd w:val="clear" w:color="auto" w:fill="F5F7FA"/>
          </w:tcPr>
          <w:p>
            <w:pPr>
              <w:spacing w:after="20"/>
            </w:pPr>
            <w:r/>
            <w:r>
              <w:rPr>
                <w:sz w:val="18"/>
              </w:rPr>
              <w:t>7.2448</w:t>
            </w:r>
          </w:p>
        </w:tc>
        <w:tc>
          <w:tcPr>
            <w:tcW w:type="dxa" w:w="1872"/>
            <w:shd w:val="clear" w:color="auto" w:fill="F5F7FA"/>
          </w:tcPr>
          <w:p>
            <w:pPr>
              <w:spacing w:after="20"/>
            </w:pPr>
            <w:r/>
            <w:r>
              <w:rPr>
                <w:sz w:val="18"/>
              </w:rPr>
              <w:t>0.81030</w:t>
            </w:r>
          </w:p>
        </w:tc>
      </w:tr>
      <w:tr>
        <w:tc>
          <w:tcPr>
            <w:tcW w:type="dxa" w:w="576"/>
          </w:tcPr>
          <w:p>
            <w:pPr>
              <w:spacing w:after="20"/>
            </w:pPr>
            <w:r/>
            <w:r>
              <w:rPr>
                <w:sz w:val="18"/>
              </w:rPr>
              <w:t>9</w:t>
            </w:r>
          </w:p>
        </w:tc>
        <w:tc>
          <w:tcPr>
            <w:tcW w:type="dxa" w:w="2880"/>
          </w:tcPr>
          <w:p>
            <w:pPr>
              <w:spacing w:after="20"/>
            </w:pPr>
            <w:r/>
            <w:r>
              <w:rPr>
                <w:sz w:val="18"/>
              </w:rPr>
              <w:t>block_score</w:t>
            </w:r>
          </w:p>
        </w:tc>
        <w:tc>
          <w:tcPr>
            <w:tcW w:type="dxa" w:w="1584"/>
          </w:tcPr>
          <w:p>
            <w:pPr>
              <w:spacing w:after="20"/>
            </w:pPr>
            <w:r/>
            <w:r>
              <w:rPr>
                <w:sz w:val="18"/>
              </w:rPr>
              <w:t>0.8913</w:t>
            </w:r>
          </w:p>
        </w:tc>
        <w:tc>
          <w:tcPr>
            <w:tcW w:type="dxa" w:w="1584"/>
          </w:tcPr>
          <w:p>
            <w:pPr>
              <w:spacing w:after="20"/>
            </w:pPr>
            <w:r/>
            <w:r>
              <w:rPr>
                <w:sz w:val="18"/>
              </w:rPr>
              <w:t>0.5183</w:t>
            </w:r>
          </w:p>
        </w:tc>
        <w:tc>
          <w:tcPr>
            <w:tcW w:type="dxa" w:w="1872"/>
          </w:tcPr>
          <w:p>
            <w:pPr>
              <w:spacing w:after="20"/>
            </w:pPr>
            <w:r/>
            <w:r>
              <w:rPr>
                <w:sz w:val="18"/>
              </w:rPr>
              <w:t>0.79090</w:t>
            </w:r>
          </w:p>
        </w:tc>
      </w:tr>
      <w:tr>
        <w:tc>
          <w:tcPr>
            <w:tcW w:type="dxa" w:w="576"/>
            <w:shd w:val="clear" w:color="auto" w:fill="F5F7FA"/>
          </w:tcPr>
          <w:p>
            <w:pPr>
              <w:spacing w:after="20"/>
            </w:pPr>
            <w:r/>
            <w:r>
              <w:rPr>
                <w:sz w:val="18"/>
              </w:rPr>
              <w:t>10</w:t>
            </w:r>
          </w:p>
        </w:tc>
        <w:tc>
          <w:tcPr>
            <w:tcW w:type="dxa" w:w="2880"/>
            <w:shd w:val="clear" w:color="auto" w:fill="F5F7FA"/>
          </w:tcPr>
          <w:p>
            <w:pPr>
              <w:spacing w:after="20"/>
            </w:pPr>
            <w:r/>
            <w:r>
              <w:rPr>
                <w:sz w:val="18"/>
              </w:rPr>
              <w:t>name_n_shared</w:t>
            </w:r>
          </w:p>
        </w:tc>
        <w:tc>
          <w:tcPr>
            <w:tcW w:type="dxa" w:w="1584"/>
            <w:shd w:val="clear" w:color="auto" w:fill="F5F7FA"/>
          </w:tcPr>
          <w:p>
            <w:pPr>
              <w:spacing w:after="20"/>
            </w:pPr>
            <w:r/>
            <w:r>
              <w:rPr>
                <w:sz w:val="18"/>
              </w:rPr>
              <w:t>2.1272</w:t>
            </w:r>
          </w:p>
        </w:tc>
        <w:tc>
          <w:tcPr>
            <w:tcW w:type="dxa" w:w="1584"/>
            <w:shd w:val="clear" w:color="auto" w:fill="F5F7FA"/>
          </w:tcPr>
          <w:p>
            <w:pPr>
              <w:spacing w:after="20"/>
            </w:pPr>
            <w:r/>
            <w:r>
              <w:rPr>
                <w:sz w:val="18"/>
              </w:rPr>
              <w:t>0.9371</w:t>
            </w:r>
          </w:p>
        </w:tc>
        <w:tc>
          <w:tcPr>
            <w:tcW w:type="dxa" w:w="1872"/>
            <w:shd w:val="clear" w:color="auto" w:fill="F5F7FA"/>
          </w:tcPr>
          <w:p>
            <w:pPr>
              <w:spacing w:after="20"/>
            </w:pPr>
            <w:r/>
            <w:r>
              <w:rPr>
                <w:sz w:val="18"/>
              </w:rPr>
              <w:t>0.78603</w:t>
            </w:r>
          </w:p>
        </w:tc>
      </w:tr>
      <w:tr>
        <w:tc>
          <w:tcPr>
            <w:tcW w:type="dxa" w:w="576"/>
          </w:tcPr>
          <w:p>
            <w:pPr>
              <w:spacing w:after="20"/>
            </w:pPr>
            <w:r/>
            <w:r>
              <w:rPr>
                <w:sz w:val="18"/>
              </w:rPr>
              <w:t>11</w:t>
            </w:r>
          </w:p>
        </w:tc>
        <w:tc>
          <w:tcPr>
            <w:tcW w:type="dxa" w:w="2880"/>
          </w:tcPr>
          <w:p>
            <w:pPr>
              <w:spacing w:after="20"/>
            </w:pPr>
            <w:r/>
            <w:r>
              <w:rPr>
                <w:sz w:val="18"/>
              </w:rPr>
              <w:t>name_ratio</w:t>
            </w:r>
          </w:p>
        </w:tc>
        <w:tc>
          <w:tcPr>
            <w:tcW w:type="dxa" w:w="1584"/>
          </w:tcPr>
          <w:p>
            <w:pPr>
              <w:spacing w:after="20"/>
            </w:pPr>
            <w:r/>
            <w:r>
              <w:rPr>
                <w:sz w:val="18"/>
              </w:rPr>
              <w:t>0.9094</w:t>
            </w:r>
          </w:p>
        </w:tc>
        <w:tc>
          <w:tcPr>
            <w:tcW w:type="dxa" w:w="1584"/>
          </w:tcPr>
          <w:p>
            <w:pPr>
              <w:spacing w:after="20"/>
            </w:pPr>
            <w:r/>
            <w:r>
              <w:rPr>
                <w:sz w:val="18"/>
              </w:rPr>
              <w:t>0.5765</w:t>
            </w:r>
          </w:p>
        </w:tc>
        <w:tc>
          <w:tcPr>
            <w:tcW w:type="dxa" w:w="1872"/>
          </w:tcPr>
          <w:p>
            <w:pPr>
              <w:spacing w:after="20"/>
            </w:pPr>
            <w:r/>
            <w:r>
              <w:rPr>
                <w:sz w:val="18"/>
              </w:rPr>
              <w:t>0.78487</w:t>
            </w:r>
          </w:p>
        </w:tc>
      </w:tr>
      <w:tr>
        <w:tc>
          <w:tcPr>
            <w:tcW w:type="dxa" w:w="576"/>
            <w:shd w:val="clear" w:color="auto" w:fill="F5F7FA"/>
          </w:tcPr>
          <w:p>
            <w:pPr>
              <w:spacing w:after="20"/>
            </w:pPr>
            <w:r/>
            <w:r>
              <w:rPr>
                <w:sz w:val="18"/>
              </w:rPr>
              <w:t>12</w:t>
            </w:r>
          </w:p>
        </w:tc>
        <w:tc>
          <w:tcPr>
            <w:tcW w:type="dxa" w:w="2880"/>
            <w:shd w:val="clear" w:color="auto" w:fill="F5F7FA"/>
          </w:tcPr>
          <w:p>
            <w:pPr>
              <w:spacing w:after="20"/>
            </w:pPr>
            <w:r/>
            <w:r>
              <w:rPr>
                <w:sz w:val="18"/>
              </w:rPr>
              <w:t>name_jaro</w:t>
            </w:r>
          </w:p>
        </w:tc>
        <w:tc>
          <w:tcPr>
            <w:tcW w:type="dxa" w:w="1584"/>
            <w:shd w:val="clear" w:color="auto" w:fill="F5F7FA"/>
          </w:tcPr>
          <w:p>
            <w:pPr>
              <w:spacing w:after="20"/>
            </w:pPr>
            <w:r/>
            <w:r>
              <w:rPr>
                <w:sz w:val="18"/>
              </w:rPr>
              <w:t>0.9501</w:t>
            </w:r>
          </w:p>
        </w:tc>
        <w:tc>
          <w:tcPr>
            <w:tcW w:type="dxa" w:w="1584"/>
            <w:shd w:val="clear" w:color="auto" w:fill="F5F7FA"/>
          </w:tcPr>
          <w:p>
            <w:pPr>
              <w:spacing w:after="20"/>
            </w:pPr>
            <w:r/>
            <w:r>
              <w:rPr>
                <w:sz w:val="18"/>
              </w:rPr>
              <w:t>0.7133</w:t>
            </w:r>
          </w:p>
        </w:tc>
        <w:tc>
          <w:tcPr>
            <w:tcW w:type="dxa" w:w="1872"/>
            <w:shd w:val="clear" w:color="auto" w:fill="F5F7FA"/>
          </w:tcPr>
          <w:p>
            <w:pPr>
              <w:spacing w:after="20"/>
            </w:pPr>
            <w:r/>
            <w:r>
              <w:rPr>
                <w:sz w:val="18"/>
              </w:rPr>
              <w:t>0.78423</w:t>
            </w:r>
          </w:p>
        </w:tc>
      </w:tr>
      <w:tr>
        <w:tc>
          <w:tcPr>
            <w:tcW w:type="dxa" w:w="576"/>
          </w:tcPr>
          <w:p>
            <w:pPr>
              <w:spacing w:after="20"/>
            </w:pPr>
            <w:r/>
            <w:r>
              <w:rPr>
                <w:sz w:val="18"/>
              </w:rPr>
              <w:t>13</w:t>
            </w:r>
          </w:p>
        </w:tc>
        <w:tc>
          <w:tcPr>
            <w:tcW w:type="dxa" w:w="2880"/>
          </w:tcPr>
          <w:p>
            <w:pPr>
              <w:spacing w:after="20"/>
            </w:pPr>
            <w:r/>
            <w:r>
              <w:rPr>
                <w:sz w:val="18"/>
              </w:rPr>
              <w:t>name_token_sort</w:t>
            </w:r>
          </w:p>
        </w:tc>
        <w:tc>
          <w:tcPr>
            <w:tcW w:type="dxa" w:w="1584"/>
          </w:tcPr>
          <w:p>
            <w:pPr>
              <w:spacing w:after="20"/>
            </w:pPr>
            <w:r/>
            <w:r>
              <w:rPr>
                <w:sz w:val="18"/>
              </w:rPr>
              <w:t>0.9000</w:t>
            </w:r>
          </w:p>
        </w:tc>
        <w:tc>
          <w:tcPr>
            <w:tcW w:type="dxa" w:w="1584"/>
          </w:tcPr>
          <w:p>
            <w:pPr>
              <w:spacing w:after="20"/>
            </w:pPr>
            <w:r/>
            <w:r>
              <w:rPr>
                <w:sz w:val="18"/>
              </w:rPr>
              <w:t>0.5700</w:t>
            </w:r>
          </w:p>
        </w:tc>
        <w:tc>
          <w:tcPr>
            <w:tcW w:type="dxa" w:w="1872"/>
          </w:tcPr>
          <w:p>
            <w:pPr>
              <w:spacing w:after="20"/>
            </w:pPr>
            <w:r/>
            <w:r>
              <w:rPr>
                <w:sz w:val="18"/>
              </w:rPr>
              <w:t>0.78405</w:t>
            </w:r>
          </w:p>
        </w:tc>
      </w:tr>
      <w:tr>
        <w:tc>
          <w:tcPr>
            <w:tcW w:type="dxa" w:w="576"/>
            <w:shd w:val="clear" w:color="auto" w:fill="F5F7FA"/>
          </w:tcPr>
          <w:p>
            <w:pPr>
              <w:spacing w:after="20"/>
            </w:pPr>
            <w:r/>
            <w:r>
              <w:rPr>
                <w:sz w:val="18"/>
              </w:rPr>
              <w:t>14</w:t>
            </w:r>
          </w:p>
        </w:tc>
        <w:tc>
          <w:tcPr>
            <w:tcW w:type="dxa" w:w="2880"/>
            <w:shd w:val="clear" w:color="auto" w:fill="F5F7FA"/>
          </w:tcPr>
          <w:p>
            <w:pPr>
              <w:spacing w:after="20"/>
            </w:pPr>
            <w:r/>
            <w:r>
              <w:rPr>
                <w:sz w:val="18"/>
              </w:rPr>
              <w:t>digit_jaccard</w:t>
            </w:r>
          </w:p>
        </w:tc>
        <w:tc>
          <w:tcPr>
            <w:tcW w:type="dxa" w:w="1584"/>
            <w:shd w:val="clear" w:color="auto" w:fill="F5F7FA"/>
          </w:tcPr>
          <w:p>
            <w:pPr>
              <w:spacing w:after="20"/>
            </w:pPr>
            <w:r/>
            <w:r>
              <w:rPr>
                <w:sz w:val="18"/>
              </w:rPr>
              <w:t>0.7580</w:t>
            </w:r>
          </w:p>
        </w:tc>
        <w:tc>
          <w:tcPr>
            <w:tcW w:type="dxa" w:w="1584"/>
            <w:shd w:val="clear" w:color="auto" w:fill="F5F7FA"/>
          </w:tcPr>
          <w:p>
            <w:pPr>
              <w:spacing w:after="20"/>
            </w:pPr>
            <w:r/>
            <w:r>
              <w:rPr>
                <w:sz w:val="18"/>
              </w:rPr>
              <w:t>0.2687</w:t>
            </w:r>
          </w:p>
        </w:tc>
        <w:tc>
          <w:tcPr>
            <w:tcW w:type="dxa" w:w="1872"/>
            <w:shd w:val="clear" w:color="auto" w:fill="F5F7FA"/>
          </w:tcPr>
          <w:p>
            <w:pPr>
              <w:spacing w:after="20"/>
            </w:pPr>
            <w:r/>
            <w:r>
              <w:rPr>
                <w:sz w:val="18"/>
              </w:rPr>
              <w:t>0.77904</w:t>
            </w:r>
          </w:p>
        </w:tc>
      </w:tr>
      <w:tr>
        <w:tc>
          <w:tcPr>
            <w:tcW w:type="dxa" w:w="576"/>
          </w:tcPr>
          <w:p>
            <w:pPr>
              <w:spacing w:after="20"/>
            </w:pPr>
            <w:r/>
            <w:r>
              <w:rPr>
                <w:sz w:val="18"/>
              </w:rPr>
              <w:t>15</w:t>
            </w:r>
          </w:p>
        </w:tc>
        <w:tc>
          <w:tcPr>
            <w:tcW w:type="dxa" w:w="2880"/>
          </w:tcPr>
          <w:p>
            <w:pPr>
              <w:spacing w:after="20"/>
            </w:pPr>
            <w:r/>
            <w:r>
              <w:rPr>
                <w:sz w:val="18"/>
              </w:rPr>
              <w:t>nospace_ratio</w:t>
            </w:r>
          </w:p>
        </w:tc>
        <w:tc>
          <w:tcPr>
            <w:tcW w:type="dxa" w:w="1584"/>
          </w:tcPr>
          <w:p>
            <w:pPr>
              <w:spacing w:after="20"/>
            </w:pPr>
            <w:r/>
            <w:r>
              <w:rPr>
                <w:sz w:val="18"/>
              </w:rPr>
              <w:t>0.8971</w:t>
            </w:r>
          </w:p>
        </w:tc>
        <w:tc>
          <w:tcPr>
            <w:tcW w:type="dxa" w:w="1584"/>
          </w:tcPr>
          <w:p>
            <w:pPr>
              <w:spacing w:after="20"/>
            </w:pPr>
            <w:r/>
            <w:r>
              <w:rPr>
                <w:sz w:val="18"/>
              </w:rPr>
              <w:t>0.5723</w:t>
            </w:r>
          </w:p>
        </w:tc>
        <w:tc>
          <w:tcPr>
            <w:tcW w:type="dxa" w:w="1872"/>
          </w:tcPr>
          <w:p>
            <w:pPr>
              <w:spacing w:after="20"/>
            </w:pPr>
            <w:r/>
            <w:r>
              <w:rPr>
                <w:sz w:val="18"/>
              </w:rPr>
              <w:t>0.77750</w:t>
            </w:r>
          </w:p>
        </w:tc>
      </w:tr>
    </w:tbl>
    <w:p>
      <w:pPr>
        <w:spacing w:after="0"/>
      </w:pPr>
    </w:p>
    <w:p>
      <w:pPr>
        <w:spacing w:before="40" w:after="240"/>
      </w:pPr>
      <w:r>
        <w:rPr>
          <w:i/>
          <w:color w:val="606060"/>
          <w:sz w:val="17"/>
        </w:rPr>
        <w:t>The top 7 features are all address features, and the strongest single feature reaches 0.944 AUC on its own. None approaches the 0.99935 of the stage-1 ensemble, so the combination is doing real work rather than one feature carrying the model.</w:t>
      </w:r>
    </w:p>
    <w:p>
      <w:pPr>
        <w:pStyle w:val="Heading2"/>
      </w:pPr>
      <w:r>
        <w:t>3.7  Runtime and resource profile</w:t>
      </w:r>
    </w:p>
    <w:tbl>
      <w:tblPr>
        <w:tblStyle w:val="TableGrid"/>
        <w:tblW w:type="auto" w:w="0"/>
        <w:jc w:val="center"/>
        <w:tblLayout w:type="autofit"/>
        <w:tblLook w:firstColumn="1" w:firstRow="1" w:lastColumn="0" w:lastRow="0" w:noHBand="0" w:noVBand="1" w:val="04A0"/>
      </w:tblPr>
      <w:tblGrid>
        <w:gridCol w:w="1056"/>
        <w:gridCol w:w="1056"/>
        <w:gridCol w:w="1056"/>
        <w:gridCol w:w="1056"/>
        <w:gridCol w:w="1056"/>
        <w:gridCol w:w="1056"/>
        <w:gridCol w:w="1056"/>
        <w:gridCol w:w="1056"/>
        <w:gridCol w:w="1056"/>
      </w:tblGrid>
      <w:tr>
        <w:tc>
          <w:tcPr>
            <w:tcW w:type="dxa" w:w="1008"/>
            <w:shd w:val="clear" w:color="auto" w:fill="1F3A5F"/>
          </w:tcPr>
          <w:p>
            <w:pPr>
              <w:spacing w:after="20"/>
            </w:pPr>
            <w:r/>
            <w:r>
              <w:rPr>
                <w:b/>
                <w:color w:val="FFFFFF"/>
                <w:sz w:val="18"/>
              </w:rPr>
              <w:t>Country</w:t>
            </w:r>
          </w:p>
        </w:tc>
        <w:tc>
          <w:tcPr>
            <w:tcW w:type="dxa" w:w="864"/>
            <w:shd w:val="clear" w:color="auto" w:fill="1F3A5F"/>
          </w:tcPr>
          <w:p>
            <w:pPr>
              <w:spacing w:after="20"/>
            </w:pPr>
            <w:r/>
            <w:r>
              <w:rPr>
                <w:b/>
                <w:color w:val="FFFFFF"/>
                <w:sz w:val="18"/>
              </w:rPr>
              <w:t>Channel</w:t>
            </w:r>
          </w:p>
        </w:tc>
        <w:tc>
          <w:tcPr>
            <w:tcW w:type="dxa" w:w="1368"/>
            <w:shd w:val="clear" w:color="auto" w:fill="1F3A5F"/>
          </w:tcPr>
          <w:p>
            <w:pPr>
              <w:spacing w:after="20"/>
            </w:pPr>
            <w:r/>
            <w:r>
              <w:rPr>
                <w:b/>
                <w:color w:val="FFFFFF"/>
                <w:sz w:val="18"/>
              </w:rPr>
              <w:t>vocab</w:t>
            </w:r>
          </w:p>
        </w:tc>
        <w:tc>
          <w:tcPr>
            <w:tcW w:type="dxa" w:w="1440"/>
            <w:shd w:val="clear" w:color="auto" w:fill="1F3A5F"/>
          </w:tcPr>
          <w:p>
            <w:pPr>
              <w:spacing w:after="20"/>
            </w:pPr>
            <w:r/>
            <w:r>
              <w:rPr>
                <w:b/>
                <w:color w:val="FFFFFF"/>
                <w:sz w:val="18"/>
              </w:rPr>
              <w:t>non-zeros</w:t>
            </w:r>
          </w:p>
        </w:tc>
        <w:tc>
          <w:tcPr>
            <w:tcW w:type="dxa" w:w="1008"/>
            <w:shd w:val="clear" w:color="auto" w:fill="1F3A5F"/>
          </w:tcPr>
          <w:p>
            <w:pPr>
              <w:spacing w:after="20"/>
            </w:pPr>
            <w:r/>
            <w:r>
              <w:rPr>
                <w:b/>
                <w:color w:val="FFFFFF"/>
                <w:sz w:val="18"/>
              </w:rPr>
              <w:t>index GB</w:t>
            </w:r>
          </w:p>
        </w:tc>
        <w:tc>
          <w:tcPr>
            <w:tcW w:type="dxa" w:w="1152"/>
            <w:shd w:val="clear" w:color="auto" w:fill="1F3A5F"/>
          </w:tcPr>
          <w:p>
            <w:pPr>
              <w:spacing w:after="20"/>
            </w:pPr>
            <w:r/>
            <w:r>
              <w:rPr>
                <w:b/>
                <w:color w:val="FFFFFF"/>
                <w:sz w:val="18"/>
              </w:rPr>
              <w:t>pairs</w:t>
            </w:r>
          </w:p>
        </w:tc>
        <w:tc>
          <w:tcPr>
            <w:tcW w:type="dxa" w:w="864"/>
            <w:shd w:val="clear" w:color="auto" w:fill="1F3A5F"/>
          </w:tcPr>
          <w:p>
            <w:pPr>
              <w:spacing w:after="20"/>
            </w:pPr>
            <w:r/>
            <w:r>
              <w:rPr>
                <w:b/>
                <w:color w:val="FFFFFF"/>
                <w:sz w:val="18"/>
              </w:rPr>
              <w:t>vocab s</w:t>
            </w:r>
          </w:p>
        </w:tc>
        <w:tc>
          <w:tcPr>
            <w:tcW w:type="dxa" w:w="864"/>
            <w:shd w:val="clear" w:color="auto" w:fill="1F3A5F"/>
          </w:tcPr>
          <w:p>
            <w:pPr>
              <w:spacing w:after="20"/>
            </w:pPr>
            <w:r/>
            <w:r>
              <w:rPr>
                <w:b/>
                <w:color w:val="FFFFFF"/>
                <w:sz w:val="18"/>
              </w:rPr>
              <w:t>build s</w:t>
            </w:r>
          </w:p>
        </w:tc>
        <w:tc>
          <w:tcPr>
            <w:tcW w:type="dxa" w:w="864"/>
            <w:shd w:val="clear" w:color="auto" w:fill="1F3A5F"/>
          </w:tcPr>
          <w:p>
            <w:pPr>
              <w:spacing w:after="20"/>
            </w:pPr>
            <w:r/>
            <w:r>
              <w:rPr>
                <w:b/>
                <w:color w:val="FFFFFF"/>
                <w:sz w:val="18"/>
              </w:rPr>
              <w:t>query s</w:t>
            </w:r>
          </w:p>
        </w:tc>
      </w:tr>
      <w:tr>
        <w:tc>
          <w:tcPr>
            <w:tcW w:type="dxa" w:w="1008"/>
          </w:tcPr>
          <w:p>
            <w:pPr>
              <w:spacing w:after="20"/>
            </w:pPr>
            <w:r/>
            <w:r>
              <w:rPr>
                <w:sz w:val="18"/>
              </w:rPr>
              <w:t>India</w:t>
            </w:r>
          </w:p>
        </w:tc>
        <w:tc>
          <w:tcPr>
            <w:tcW w:type="dxa" w:w="864"/>
          </w:tcPr>
          <w:p>
            <w:pPr>
              <w:spacing w:after="20"/>
            </w:pPr>
            <w:r/>
            <w:r>
              <w:rPr>
                <w:sz w:val="18"/>
              </w:rPr>
              <w:t>name</w:t>
            </w:r>
          </w:p>
        </w:tc>
        <w:tc>
          <w:tcPr>
            <w:tcW w:type="dxa" w:w="1368"/>
          </w:tcPr>
          <w:p>
            <w:pPr>
              <w:spacing w:after="20"/>
            </w:pPr>
            <w:r/>
            <w:r>
              <w:rPr>
                <w:sz w:val="18"/>
              </w:rPr>
              <w:t>6,338,366</w:t>
            </w:r>
          </w:p>
        </w:tc>
        <w:tc>
          <w:tcPr>
            <w:tcW w:type="dxa" w:w="1440"/>
          </w:tcPr>
          <w:p>
            <w:pPr>
              <w:spacing w:after="20"/>
            </w:pPr>
            <w:r/>
            <w:r>
              <w:rPr>
                <w:sz w:val="18"/>
              </w:rPr>
              <w:t>25,941,695</w:t>
            </w:r>
          </w:p>
        </w:tc>
        <w:tc>
          <w:tcPr>
            <w:tcW w:type="dxa" w:w="1008"/>
          </w:tcPr>
          <w:p>
            <w:pPr>
              <w:spacing w:after="20"/>
            </w:pPr>
            <w:r/>
            <w:r>
              <w:rPr>
                <w:sz w:val="18"/>
              </w:rPr>
              <w:t>0.233</w:t>
            </w:r>
          </w:p>
        </w:tc>
        <w:tc>
          <w:tcPr>
            <w:tcW w:type="dxa" w:w="1152"/>
          </w:tcPr>
          <w:p>
            <w:pPr>
              <w:spacing w:after="20"/>
            </w:pPr>
            <w:r/>
            <w:r>
              <w:rPr>
                <w:sz w:val="18"/>
              </w:rPr>
              <w:t>84,714</w:t>
            </w:r>
          </w:p>
        </w:tc>
        <w:tc>
          <w:tcPr>
            <w:tcW w:type="dxa" w:w="864"/>
          </w:tcPr>
          <w:p>
            <w:pPr>
              <w:spacing w:after="20"/>
            </w:pPr>
            <w:r/>
            <w:r>
              <w:rPr>
                <w:sz w:val="18"/>
              </w:rPr>
              <w:t>38.1</w:t>
            </w:r>
          </w:p>
        </w:tc>
        <w:tc>
          <w:tcPr>
            <w:tcW w:type="dxa" w:w="864"/>
          </w:tcPr>
          <w:p>
            <w:pPr>
              <w:spacing w:after="20"/>
            </w:pPr>
            <w:r/>
            <w:r>
              <w:rPr>
                <w:sz w:val="18"/>
              </w:rPr>
              <w:t>70.5</w:t>
            </w:r>
          </w:p>
        </w:tc>
        <w:tc>
          <w:tcPr>
            <w:tcW w:type="dxa" w:w="864"/>
          </w:tcPr>
          <w:p>
            <w:pPr>
              <w:spacing w:after="20"/>
            </w:pPr>
            <w:r/>
            <w:r>
              <w:rPr>
                <w:sz w:val="18"/>
              </w:rPr>
              <w:t>0.3</w:t>
            </w:r>
          </w:p>
        </w:tc>
      </w:tr>
      <w:tr>
        <w:tc>
          <w:tcPr>
            <w:tcW w:type="dxa" w:w="1008"/>
            <w:shd w:val="clear" w:color="auto" w:fill="F5F7FA"/>
          </w:tcPr>
          <w:p>
            <w:pPr>
              <w:spacing w:after="20"/>
            </w:pPr>
            <w:r/>
            <w:r>
              <w:rPr>
                <w:sz w:val="18"/>
              </w:rPr>
              <w:t>India</w:t>
            </w:r>
          </w:p>
        </w:tc>
        <w:tc>
          <w:tcPr>
            <w:tcW w:type="dxa" w:w="864"/>
            <w:shd w:val="clear" w:color="auto" w:fill="F5F7FA"/>
          </w:tcPr>
          <w:p>
            <w:pPr>
              <w:spacing w:after="20"/>
            </w:pPr>
            <w:r/>
            <w:r>
              <w:rPr>
                <w:sz w:val="18"/>
              </w:rPr>
              <w:t>addr</w:t>
            </w:r>
          </w:p>
        </w:tc>
        <w:tc>
          <w:tcPr>
            <w:tcW w:type="dxa" w:w="1368"/>
            <w:shd w:val="clear" w:color="auto" w:fill="F5F7FA"/>
          </w:tcPr>
          <w:p>
            <w:pPr>
              <w:spacing w:after="20"/>
            </w:pPr>
            <w:r/>
            <w:r>
              <w:rPr>
                <w:sz w:val="18"/>
              </w:rPr>
              <w:t>3,143,615</w:t>
            </w:r>
          </w:p>
        </w:tc>
        <w:tc>
          <w:tcPr>
            <w:tcW w:type="dxa" w:w="1440"/>
            <w:shd w:val="clear" w:color="auto" w:fill="F5F7FA"/>
          </w:tcPr>
          <w:p>
            <w:pPr>
              <w:spacing w:after="20"/>
            </w:pPr>
            <w:r/>
            <w:r>
              <w:rPr>
                <w:sz w:val="18"/>
              </w:rPr>
              <w:t>20,417,306</w:t>
            </w:r>
          </w:p>
        </w:tc>
        <w:tc>
          <w:tcPr>
            <w:tcW w:type="dxa" w:w="1008"/>
            <w:shd w:val="clear" w:color="auto" w:fill="F5F7FA"/>
          </w:tcPr>
          <w:p>
            <w:pPr>
              <w:spacing w:after="20"/>
            </w:pPr>
            <w:r/>
            <w:r>
              <w:rPr>
                <w:sz w:val="18"/>
              </w:rPr>
              <w:t>0.176</w:t>
            </w:r>
          </w:p>
        </w:tc>
        <w:tc>
          <w:tcPr>
            <w:tcW w:type="dxa" w:w="1152"/>
            <w:shd w:val="clear" w:color="auto" w:fill="F5F7FA"/>
          </w:tcPr>
          <w:p>
            <w:pPr>
              <w:spacing w:after="20"/>
            </w:pPr>
            <w:r/>
            <w:r>
              <w:rPr>
                <w:sz w:val="18"/>
              </w:rPr>
              <w:t>70,962</w:t>
            </w:r>
          </w:p>
        </w:tc>
        <w:tc>
          <w:tcPr>
            <w:tcW w:type="dxa" w:w="864"/>
            <w:shd w:val="clear" w:color="auto" w:fill="F5F7FA"/>
          </w:tcPr>
          <w:p>
            <w:pPr>
              <w:spacing w:after="20"/>
            </w:pPr>
            <w:r/>
            <w:r>
              <w:rPr>
                <w:sz w:val="18"/>
              </w:rPr>
              <w:t>38.9</w:t>
            </w:r>
          </w:p>
        </w:tc>
        <w:tc>
          <w:tcPr>
            <w:tcW w:type="dxa" w:w="864"/>
            <w:shd w:val="clear" w:color="auto" w:fill="F5F7FA"/>
          </w:tcPr>
          <w:p>
            <w:pPr>
              <w:spacing w:after="20"/>
            </w:pPr>
            <w:r/>
            <w:r>
              <w:rPr>
                <w:sz w:val="18"/>
              </w:rPr>
              <w:t>65.2</w:t>
            </w:r>
          </w:p>
        </w:tc>
        <w:tc>
          <w:tcPr>
            <w:tcW w:type="dxa" w:w="864"/>
            <w:shd w:val="clear" w:color="auto" w:fill="F5F7FA"/>
          </w:tcPr>
          <w:p>
            <w:pPr>
              <w:spacing w:after="20"/>
            </w:pPr>
            <w:r/>
            <w:r>
              <w:rPr>
                <w:sz w:val="18"/>
              </w:rPr>
              <w:t>1.3</w:t>
            </w:r>
          </w:p>
        </w:tc>
      </w:tr>
      <w:tr>
        <w:tc>
          <w:tcPr>
            <w:tcW w:type="dxa" w:w="1008"/>
          </w:tcPr>
          <w:p>
            <w:pPr>
              <w:spacing w:after="20"/>
            </w:pPr>
            <w:r/>
            <w:r>
              <w:rPr>
                <w:sz w:val="18"/>
              </w:rPr>
              <w:t>US</w:t>
            </w:r>
          </w:p>
        </w:tc>
        <w:tc>
          <w:tcPr>
            <w:tcW w:type="dxa" w:w="864"/>
          </w:tcPr>
          <w:p>
            <w:pPr>
              <w:spacing w:after="20"/>
            </w:pPr>
            <w:r/>
            <w:r>
              <w:rPr>
                <w:sz w:val="18"/>
              </w:rPr>
              <w:t>name</w:t>
            </w:r>
          </w:p>
        </w:tc>
        <w:tc>
          <w:tcPr>
            <w:tcW w:type="dxa" w:w="1368"/>
          </w:tcPr>
          <w:p>
            <w:pPr>
              <w:spacing w:after="20"/>
            </w:pPr>
            <w:r/>
            <w:r>
              <w:rPr>
                <w:sz w:val="18"/>
              </w:rPr>
              <w:t>10,677,676</w:t>
            </w:r>
          </w:p>
        </w:tc>
        <w:tc>
          <w:tcPr>
            <w:tcW w:type="dxa" w:w="1440"/>
          </w:tcPr>
          <w:p>
            <w:pPr>
              <w:spacing w:after="20"/>
            </w:pPr>
            <w:r/>
            <w:r>
              <w:rPr>
                <w:sz w:val="18"/>
              </w:rPr>
              <w:t>45,649,479</w:t>
            </w:r>
          </w:p>
        </w:tc>
        <w:tc>
          <w:tcPr>
            <w:tcW w:type="dxa" w:w="1008"/>
          </w:tcPr>
          <w:p>
            <w:pPr>
              <w:spacing w:after="20"/>
            </w:pPr>
            <w:r/>
            <w:r>
              <w:rPr>
                <w:sz w:val="18"/>
              </w:rPr>
              <w:t>0.408</w:t>
            </w:r>
          </w:p>
        </w:tc>
        <w:tc>
          <w:tcPr>
            <w:tcW w:type="dxa" w:w="1152"/>
          </w:tcPr>
          <w:p>
            <w:pPr>
              <w:spacing w:after="20"/>
            </w:pPr>
            <w:r/>
            <w:r>
              <w:rPr>
                <w:sz w:val="18"/>
              </w:rPr>
              <w:t>82,795</w:t>
            </w:r>
          </w:p>
        </w:tc>
        <w:tc>
          <w:tcPr>
            <w:tcW w:type="dxa" w:w="864"/>
          </w:tcPr>
          <w:p>
            <w:pPr>
              <w:spacing w:after="20"/>
            </w:pPr>
            <w:r/>
            <w:r>
              <w:rPr>
                <w:sz w:val="18"/>
              </w:rPr>
              <w:t>66.2</w:t>
            </w:r>
          </w:p>
        </w:tc>
        <w:tc>
          <w:tcPr>
            <w:tcW w:type="dxa" w:w="864"/>
          </w:tcPr>
          <w:p>
            <w:pPr>
              <w:spacing w:after="20"/>
            </w:pPr>
            <w:r/>
            <w:r>
              <w:rPr>
                <w:sz w:val="18"/>
              </w:rPr>
              <w:t>118.8</w:t>
            </w:r>
          </w:p>
        </w:tc>
        <w:tc>
          <w:tcPr>
            <w:tcW w:type="dxa" w:w="864"/>
          </w:tcPr>
          <w:p>
            <w:pPr>
              <w:spacing w:after="20"/>
            </w:pPr>
            <w:r/>
            <w:r>
              <w:rPr>
                <w:sz w:val="18"/>
              </w:rPr>
              <w:t>0.6</w:t>
            </w:r>
          </w:p>
        </w:tc>
      </w:tr>
      <w:tr>
        <w:tc>
          <w:tcPr>
            <w:tcW w:type="dxa" w:w="1008"/>
            <w:shd w:val="clear" w:color="auto" w:fill="F5F7FA"/>
          </w:tcPr>
          <w:p>
            <w:pPr>
              <w:spacing w:after="20"/>
            </w:pPr>
            <w:r/>
            <w:r>
              <w:rPr>
                <w:sz w:val="18"/>
              </w:rPr>
              <w:t>US</w:t>
            </w:r>
          </w:p>
        </w:tc>
        <w:tc>
          <w:tcPr>
            <w:tcW w:type="dxa" w:w="864"/>
            <w:shd w:val="clear" w:color="auto" w:fill="F5F7FA"/>
          </w:tcPr>
          <w:p>
            <w:pPr>
              <w:spacing w:after="20"/>
            </w:pPr>
            <w:r/>
            <w:r>
              <w:rPr>
                <w:sz w:val="18"/>
              </w:rPr>
              <w:t>addr</w:t>
            </w:r>
          </w:p>
        </w:tc>
        <w:tc>
          <w:tcPr>
            <w:tcW w:type="dxa" w:w="1368"/>
            <w:shd w:val="clear" w:color="auto" w:fill="F5F7FA"/>
          </w:tcPr>
          <w:p>
            <w:pPr>
              <w:spacing w:after="20"/>
            </w:pPr>
            <w:r/>
            <w:r>
              <w:rPr>
                <w:sz w:val="18"/>
              </w:rPr>
              <w:t>5,797,033</w:t>
            </w:r>
          </w:p>
        </w:tc>
        <w:tc>
          <w:tcPr>
            <w:tcW w:type="dxa" w:w="1440"/>
            <w:shd w:val="clear" w:color="auto" w:fill="F5F7FA"/>
          </w:tcPr>
          <w:p>
            <w:pPr>
              <w:spacing w:after="20"/>
            </w:pPr>
            <w:r/>
            <w:r>
              <w:rPr>
                <w:sz w:val="18"/>
              </w:rPr>
              <w:t>27,792,970</w:t>
            </w:r>
          </w:p>
        </w:tc>
        <w:tc>
          <w:tcPr>
            <w:tcW w:type="dxa" w:w="1008"/>
            <w:shd w:val="clear" w:color="auto" w:fill="F5F7FA"/>
          </w:tcPr>
          <w:p>
            <w:pPr>
              <w:spacing w:after="20"/>
            </w:pPr>
            <w:r/>
            <w:r>
              <w:rPr>
                <w:sz w:val="18"/>
              </w:rPr>
              <w:t>0.246</w:t>
            </w:r>
          </w:p>
        </w:tc>
        <w:tc>
          <w:tcPr>
            <w:tcW w:type="dxa" w:w="1152"/>
            <w:shd w:val="clear" w:color="auto" w:fill="F5F7FA"/>
          </w:tcPr>
          <w:p>
            <w:pPr>
              <w:spacing w:after="20"/>
            </w:pPr>
            <w:r/>
            <w:r>
              <w:rPr>
                <w:sz w:val="18"/>
              </w:rPr>
              <w:t>71,736</w:t>
            </w:r>
          </w:p>
        </w:tc>
        <w:tc>
          <w:tcPr>
            <w:tcW w:type="dxa" w:w="864"/>
            <w:shd w:val="clear" w:color="auto" w:fill="F5F7FA"/>
          </w:tcPr>
          <w:p>
            <w:pPr>
              <w:spacing w:after="20"/>
            </w:pPr>
            <w:r/>
            <w:r>
              <w:rPr>
                <w:sz w:val="18"/>
              </w:rPr>
              <w:t>49.8</w:t>
            </w:r>
          </w:p>
        </w:tc>
        <w:tc>
          <w:tcPr>
            <w:tcW w:type="dxa" w:w="864"/>
            <w:shd w:val="clear" w:color="auto" w:fill="F5F7FA"/>
          </w:tcPr>
          <w:p>
            <w:pPr>
              <w:spacing w:after="20"/>
            </w:pPr>
            <w:r/>
            <w:r>
              <w:rPr>
                <w:sz w:val="18"/>
              </w:rPr>
              <w:t>87.8</w:t>
            </w:r>
          </w:p>
        </w:tc>
        <w:tc>
          <w:tcPr>
            <w:tcW w:type="dxa" w:w="864"/>
            <w:shd w:val="clear" w:color="auto" w:fill="F5F7FA"/>
          </w:tcPr>
          <w:p>
            <w:pPr>
              <w:spacing w:after="20"/>
            </w:pPr>
            <w:r/>
            <w:r>
              <w:rPr>
                <w:sz w:val="18"/>
              </w:rPr>
              <w:t>1.0</w:t>
            </w:r>
          </w:p>
        </w:tc>
      </w:tr>
    </w:tbl>
    <w:p>
      <w:pPr>
        <w:spacing w:after="0"/>
      </w:pPr>
    </w:p>
    <w:p>
      <w:pPr>
        <w:spacing w:before="40" w:after="240"/>
      </w:pPr>
      <w:r>
        <w:rPr>
          <w:i/>
          <w:color w:val="606060"/>
          <w:sz w:val="17"/>
        </w:rPr>
        <w:t>Inverted-index construction dominates wall clock; querying is negligible by comparison. Peak index footprint stays under 0.5 GB per channel, well inside the 16.9 GB budget.</w:t>
      </w:r>
    </w:p>
    <w:tbl>
      <w:tblPr>
        <w:tblStyle w:val="TableGrid"/>
        <w:tblW w:type="auto" w:w="0"/>
        <w:jc w:val="center"/>
        <w:tblLayout w:type="autofit"/>
        <w:tblLook w:firstColumn="1" w:firstRow="1" w:lastColumn="0" w:lastRow="0" w:noHBand="0" w:noVBand="1" w:val="04A0"/>
      </w:tblPr>
      <w:tblGrid>
        <w:gridCol w:w="4752"/>
        <w:gridCol w:w="4752"/>
      </w:tblGrid>
      <w:tr>
        <w:tc>
          <w:tcPr>
            <w:tcW w:type="dxa" w:w="4608"/>
            <w:shd w:val="clear" w:color="auto" w:fill="1F3A5F"/>
          </w:tcPr>
          <w:p>
            <w:pPr>
              <w:spacing w:after="20"/>
            </w:pPr>
            <w:r/>
            <w:r>
              <w:rPr>
                <w:b/>
                <w:color w:val="FFFFFF"/>
                <w:sz w:val="18"/>
              </w:rPr>
              <w:t>Pipeline stage</w:t>
            </w:r>
          </w:p>
        </w:tc>
        <w:tc>
          <w:tcPr>
            <w:tcW w:type="dxa" w:w="4320"/>
            <w:shd w:val="clear" w:color="auto" w:fill="1F3A5F"/>
          </w:tcPr>
          <w:p>
            <w:pPr>
              <w:spacing w:after="20"/>
            </w:pPr>
            <w:r/>
            <w:r>
              <w:rPr>
                <w:b/>
                <w:color w:val="FFFFFF"/>
                <w:sz w:val="18"/>
              </w:rPr>
              <w:t>Observed cost</w:t>
            </w:r>
          </w:p>
        </w:tc>
      </w:tr>
      <w:tr>
        <w:tc>
          <w:tcPr>
            <w:tcW w:type="dxa" w:w="4608"/>
          </w:tcPr>
          <w:p>
            <w:pPr>
              <w:spacing w:after="20"/>
            </w:pPr>
            <w:r/>
            <w:r>
              <w:rPr>
                <w:sz w:val="18"/>
              </w:rPr>
              <w:t>Normalisation + parquet store (all 7 files, 25.5 M rows)</w:t>
            </w:r>
          </w:p>
        </w:tc>
        <w:tc>
          <w:tcPr>
            <w:tcW w:type="dxa" w:w="4320"/>
          </w:tcPr>
          <w:p>
            <w:pPr>
              <w:spacing w:after="20"/>
            </w:pPr>
            <w:r/>
            <w:r>
              <w:rPr>
                <w:sz w:val="18"/>
              </w:rPr>
              <w:t>about 4 min, 13 worker processes, 80-115 k rows/s</w:t>
            </w:r>
          </w:p>
        </w:tc>
      </w:tr>
      <w:tr>
        <w:tc>
          <w:tcPr>
            <w:tcW w:type="dxa" w:w="4608"/>
            <w:shd w:val="clear" w:color="auto" w:fill="F5F7FA"/>
          </w:tcPr>
          <w:p>
            <w:pPr>
              <w:spacing w:after="20"/>
            </w:pPr>
            <w:r/>
            <w:r>
              <w:rPr>
                <w:sz w:val="18"/>
              </w:rPr>
              <w:t>Blocking, both channels, both countries</w:t>
            </w:r>
          </w:p>
        </w:tc>
        <w:tc>
          <w:tcPr>
            <w:tcW w:type="dxa" w:w="4320"/>
            <w:shd w:val="clear" w:color="auto" w:fill="F5F7FA"/>
          </w:tcPr>
          <w:p>
            <w:pPr>
              <w:spacing w:after="20"/>
            </w:pPr>
            <w:r/>
            <w:r>
              <w:rPr>
                <w:sz w:val="18"/>
              </w:rPr>
              <w:t>about 10 min of the 11.5 min run</w:t>
            </w:r>
          </w:p>
        </w:tc>
      </w:tr>
      <w:tr>
        <w:tc>
          <w:tcPr>
            <w:tcW w:type="dxa" w:w="4608"/>
          </w:tcPr>
          <w:p>
            <w:pPr>
              <w:spacing w:after="20"/>
            </w:pPr>
            <w:r/>
            <w:r>
              <w:rPr>
                <w:sz w:val="18"/>
              </w:rPr>
              <w:t>Pairwise feature extraction</w:t>
            </w:r>
          </w:p>
        </w:tc>
        <w:tc>
          <w:tcPr>
            <w:tcW w:type="dxa" w:w="4320"/>
          </w:tcPr>
          <w:p>
            <w:pPr>
              <w:spacing w:after="20"/>
            </w:pPr>
            <w:r/>
            <w:r>
              <w:rPr>
                <w:sz w:val="18"/>
              </w:rPr>
              <w:t>250,539 pairs at about 28 k pairs/s (55 features)</w:t>
            </w:r>
          </w:p>
        </w:tc>
      </w:tr>
      <w:tr>
        <w:tc>
          <w:tcPr>
            <w:tcW w:type="dxa" w:w="4608"/>
            <w:shd w:val="clear" w:color="auto" w:fill="F5F7FA"/>
          </w:tcPr>
          <w:p>
            <w:pPr>
              <w:spacing w:after="20"/>
            </w:pPr>
            <w:r/>
            <w:r>
              <w:rPr>
                <w:sz w:val="18"/>
              </w:rPr>
              <w:t>Stage-1 training</w:t>
            </w:r>
          </w:p>
        </w:tc>
        <w:tc>
          <w:tcPr>
            <w:tcW w:type="dxa" w:w="4320"/>
            <w:shd w:val="clear" w:color="auto" w:fill="F5F7FA"/>
          </w:tcPr>
          <w:p>
            <w:pPr>
              <w:spacing w:after="20"/>
            </w:pPr>
            <w:r/>
            <w:r>
              <w:rPr>
                <w:sz w:val="18"/>
              </w:rPr>
              <w:t>7 s</w:t>
            </w:r>
          </w:p>
        </w:tc>
      </w:tr>
      <w:tr>
        <w:tc>
          <w:tcPr>
            <w:tcW w:type="dxa" w:w="4608"/>
          </w:tcPr>
          <w:p>
            <w:pPr>
              <w:spacing w:after="20"/>
            </w:pPr>
            <w:r/>
            <w:r>
              <w:rPr>
                <w:sz w:val="18"/>
              </w:rPr>
              <w:t>Graph features</w:t>
            </w:r>
          </w:p>
        </w:tc>
        <w:tc>
          <w:tcPr>
            <w:tcW w:type="dxa" w:w="4320"/>
          </w:tcPr>
          <w:p>
            <w:pPr>
              <w:spacing w:after="20"/>
            </w:pPr>
            <w:r/>
            <w:r>
              <w:rPr>
                <w:sz w:val="18"/>
              </w:rPr>
              <w:t>1 s</w:t>
            </w:r>
          </w:p>
        </w:tc>
      </w:tr>
      <w:tr>
        <w:tc>
          <w:tcPr>
            <w:tcW w:type="dxa" w:w="4608"/>
            <w:shd w:val="clear" w:color="auto" w:fill="F5F7FA"/>
          </w:tcPr>
          <w:p>
            <w:pPr>
              <w:spacing w:after="20"/>
            </w:pPr>
            <w:r/>
            <w:r>
              <w:rPr>
                <w:sz w:val="18"/>
              </w:rPr>
              <w:t>Stage-2 training</w:t>
            </w:r>
          </w:p>
        </w:tc>
        <w:tc>
          <w:tcPr>
            <w:tcW w:type="dxa" w:w="4320"/>
            <w:shd w:val="clear" w:color="auto" w:fill="F5F7FA"/>
          </w:tcPr>
          <w:p>
            <w:pPr>
              <w:spacing w:after="20"/>
            </w:pPr>
            <w:r/>
            <w:r>
              <w:rPr>
                <w:sz w:val="18"/>
              </w:rPr>
              <w:t>7 s</w:t>
            </w:r>
          </w:p>
        </w:tc>
      </w:tr>
      <w:tr>
        <w:tc>
          <w:tcPr>
            <w:tcW w:type="dxa" w:w="4608"/>
          </w:tcPr>
          <w:p>
            <w:pPr>
              <w:spacing w:after="20"/>
            </w:pPr>
            <w:r/>
            <w:r>
              <w:rPr>
                <w:sz w:val="18"/>
              </w:rPr>
              <w:t>Calibration</w:t>
            </w:r>
          </w:p>
        </w:tc>
        <w:tc>
          <w:tcPr>
            <w:tcW w:type="dxa" w:w="4320"/>
          </w:tcPr>
          <w:p>
            <w:pPr>
              <w:spacing w:after="20"/>
            </w:pPr>
            <w:r/>
            <w:r>
              <w:rPr>
                <w:sz w:val="18"/>
              </w:rPr>
              <w:t>under 1 s</w:t>
            </w:r>
          </w:p>
        </w:tc>
      </w:tr>
      <w:tr>
        <w:tc>
          <w:tcPr>
            <w:tcW w:type="dxa" w:w="4608"/>
            <w:shd w:val="clear" w:color="auto" w:fill="F5F7FA"/>
          </w:tcPr>
          <w:p>
            <w:pPr>
              <w:spacing w:after="20"/>
            </w:pPr>
            <w:r/>
            <w:r>
              <w:rPr>
                <w:sz w:val="18"/>
              </w:rPr>
              <w:t>All 13 decision rules evaluated</w:t>
            </w:r>
          </w:p>
        </w:tc>
        <w:tc>
          <w:tcPr>
            <w:tcW w:type="dxa" w:w="4320"/>
            <w:shd w:val="clear" w:color="auto" w:fill="F5F7FA"/>
          </w:tcPr>
          <w:p>
            <w:pPr>
              <w:spacing w:after="20"/>
            </w:pPr>
            <w:r/>
            <w:r>
              <w:rPr>
                <w:sz w:val="18"/>
              </w:rPr>
              <w:t>about 2 s total</w:t>
            </w:r>
          </w:p>
        </w:tc>
      </w:tr>
      <w:tr>
        <w:tc>
          <w:tcPr>
            <w:tcW w:type="dxa" w:w="4608"/>
          </w:tcPr>
          <w:p>
            <w:pPr>
              <w:spacing w:after="20"/>
            </w:pPr>
            <w:r/>
            <w:r>
              <w:rPr>
                <w:sz w:val="18"/>
              </w:rPr>
              <w:t>End-to-end run</w:t>
            </w:r>
          </w:p>
        </w:tc>
        <w:tc>
          <w:tcPr>
            <w:tcW w:type="dxa" w:w="4320"/>
          </w:tcPr>
          <w:p>
            <w:pPr>
              <w:spacing w:after="20"/>
            </w:pPr>
            <w:r/>
            <w:r>
              <w:rPr>
                <w:sz w:val="18"/>
              </w:rPr>
              <w:t>687 s</w:t>
            </w:r>
          </w:p>
        </w:tc>
      </w:tr>
    </w:tbl>
    <w:p>
      <w:pPr>
        <w:spacing w:after="0"/>
      </w:pPr>
    </w:p>
    <w:p>
      <w:pPr>
        <w:spacing w:before="40" w:after="240"/>
      </w:pPr>
      <w:r>
        <w:rPr>
          <w:i/>
          <w:color w:val="606060"/>
          <w:sz w:val="17"/>
        </w:rPr>
        <w:t>From artifacts/smoke.log and artifacts/prepare.log. The cost is almost entirely blocking, which is why the sweep in 3.2 mattered more than any model tuning.</w:t>
      </w:r>
    </w:p>
    <w:p>
      <w:pPr>
        <w:pStyle w:val="Heading2"/>
      </w:pPr>
      <w:r>
        <w:t>3.8  Verdict, honest caveats and next actions</w:t>
      </w:r>
    </w:p>
    <w:p>
      <w:pPr>
        <w:pStyle w:val="Heading3"/>
      </w:pPr>
      <w:r>
        <w:t>3.8.1  What is established</w:t>
      </w:r>
    </w:p>
    <w:p>
      <w:pPr>
        <w:pStyle w:val="ListBullet"/>
        <w:spacing w:after="40"/>
      </w:pPr>
      <w:r>
        <w:t>The pipeline runs end to end on the real data at full index scale and produces a validation macro F0.5 of 0.89520 at P=0.9347, R=0.8242.</w:t>
      </w:r>
    </w:p>
    <w:p>
      <w:pPr>
        <w:pStyle w:val="ListBullet"/>
        <w:spacing w:after="40"/>
      </w:pPr>
      <w:r>
        <w:t>Disjointness is a hard property of the data - 0 violations in 7.64 M links - so it can be enforced rather than encouraged.</w:t>
      </w:r>
    </w:p>
    <w:p>
      <w:pPr>
        <w:pStyle w:val="ListBullet"/>
        <w:spacing w:after="40"/>
      </w:pPr>
      <w:r>
        <w:t>The matcher is strong: stage-1 AUC 0.99935, AP 0.99441, with per-country ECE below 0.007.</w:t>
      </w:r>
    </w:p>
    <w:p>
      <w:pPr>
        <w:pStyle w:val="ListBullet"/>
        <w:spacing w:after="40"/>
      </w:pPr>
      <w:r>
        <w:t>The multi-channel blocking design is justified by measurement, not assumption: each channel contributes thousands of true links the other misses.</w:t>
      </w:r>
    </w:p>
    <w:p>
      <w:pPr>
        <w:pStyle w:val="ListBullet"/>
        <w:spacing w:after="40"/>
      </w:pPr>
      <w:r>
        <w:t>The decision layer beats every fixed-cardinality rule by a wide margin and needs no tuning sweep.</w:t>
      </w:r>
    </w:p>
    <w:p>
      <w:pPr>
        <w:pStyle w:val="Heading3"/>
      </w:pPr>
      <w:r>
        <w:t>3.8.2  Caveats stated plainly</w:t>
      </w:r>
    </w:p>
    <w:p>
      <w:pPr>
        <w:pStyle w:val="ListBullet"/>
        <w:spacing w:after="40"/>
      </w:pPr>
      <w:r>
        <w:t>Scale of evidence. This is a 4,000-entity-per-country sample, not the full 2.2 M training entities. The |T| distribution reproduces the full-data shape, but the absolute score should be read as indicative.</w:t>
      </w:r>
    </w:p>
    <w:p>
      <w:pPr>
        <w:pStyle w:val="ListBullet"/>
        <w:spacing w:after="40"/>
      </w:pPr>
      <w:r>
        <w:t>No France validation exists, by construction. Nothing in this document measures zero-shot performance on France, which is 15% of the test score. The Stage I synthetic calibration curve is designed but its quality is unverified.</w:t>
      </w:r>
    </w:p>
    <w:p>
      <w:pPr>
        <w:pStyle w:val="ListBullet"/>
        <w:spacing w:after="40"/>
      </w:pPr>
      <w:r>
        <w:t>Stage 2 currently underperforms stage 1 on average precision because its input feature set was truncated. The graph stage's true value is therefore not yet measured - the +0.0006 figure is a lower bound taken under a handicap.</w:t>
      </w:r>
    </w:p>
    <w:p>
      <w:pPr>
        <w:pStyle w:val="ListBullet"/>
        <w:spacing w:after="40"/>
      </w:pPr>
      <w:r>
        <w:t>The expected-F0.5 advantage over a tuned threshold is inside noise on this run. Its defensible claims are parameter-freeness and robustness to distribution shift, not a measured score gain over a swept threshold.</w:t>
      </w:r>
    </w:p>
    <w:p>
      <w:pPr>
        <w:pStyle w:val="ListBullet"/>
        <w:spacing w:after="40"/>
      </w:pPr>
      <w:r>
        <w:t>Poisson-binomial independence across candidates is an approximation. It is tested for algebraic correctness and against brute-force enumeration, but correlation between candidates of the same entity is not modelled.</w:t>
      </w:r>
    </w:p>
    <w:p>
      <w:pPr>
        <w:pStyle w:val="Heading3"/>
      </w:pPr>
      <w:r>
        <w:t>3.8.3  Prioritised next actions</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504"/>
            <w:shd w:val="clear" w:color="auto" w:fill="1F3A5F"/>
          </w:tcPr>
          <w:p>
            <w:pPr>
              <w:spacing w:after="20"/>
            </w:pPr>
            <w:r/>
            <w:r>
              <w:rPr>
                <w:b/>
                <w:color w:val="FFFFFF"/>
                <w:sz w:val="18"/>
              </w:rPr>
              <w:t>#</w:t>
            </w:r>
          </w:p>
        </w:tc>
        <w:tc>
          <w:tcPr>
            <w:tcW w:type="dxa" w:w="2880"/>
            <w:shd w:val="clear" w:color="auto" w:fill="1F3A5F"/>
          </w:tcPr>
          <w:p>
            <w:pPr>
              <w:spacing w:after="20"/>
            </w:pPr>
            <w:r/>
            <w:r>
              <w:rPr>
                <w:b/>
                <w:color w:val="FFFFFF"/>
                <w:sz w:val="18"/>
              </w:rPr>
              <w:t>Action</w:t>
            </w:r>
          </w:p>
        </w:tc>
        <w:tc>
          <w:tcPr>
            <w:tcW w:type="dxa" w:w="3312"/>
            <w:shd w:val="clear" w:color="auto" w:fill="1F3A5F"/>
          </w:tcPr>
          <w:p>
            <w:pPr>
              <w:spacing w:after="20"/>
            </w:pPr>
            <w:r/>
            <w:r>
              <w:rPr>
                <w:b/>
                <w:color w:val="FFFFFF"/>
                <w:sz w:val="18"/>
              </w:rPr>
              <w:t>Rationale</w:t>
            </w:r>
          </w:p>
        </w:tc>
        <w:tc>
          <w:tcPr>
            <w:tcW w:type="dxa" w:w="2088"/>
            <w:shd w:val="clear" w:color="auto" w:fill="1F3A5F"/>
          </w:tcPr>
          <w:p>
            <w:pPr>
              <w:spacing w:after="20"/>
            </w:pPr>
            <w:r/>
            <w:r>
              <w:rPr>
                <w:b/>
                <w:color w:val="FFFFFF"/>
                <w:sz w:val="18"/>
              </w:rPr>
              <w:t>Expected effect</w:t>
            </w:r>
          </w:p>
        </w:tc>
      </w:tr>
      <w:tr>
        <w:tc>
          <w:tcPr>
            <w:tcW w:type="dxa" w:w="504"/>
          </w:tcPr>
          <w:p>
            <w:pPr>
              <w:spacing w:after="20"/>
            </w:pPr>
            <w:r/>
            <w:r>
              <w:rPr>
                <w:sz w:val="18"/>
              </w:rPr>
              <w:t>1</w:t>
            </w:r>
          </w:p>
        </w:tc>
        <w:tc>
          <w:tcPr>
            <w:tcW w:type="dxa" w:w="2880"/>
          </w:tcPr>
          <w:p>
            <w:pPr>
              <w:spacing w:after="20"/>
            </w:pPr>
            <w:r/>
            <w:r>
              <w:rPr>
                <w:sz w:val="18"/>
              </w:rPr>
              <w:t>Raise top_k (name 22-&gt;30, addr 18-&gt;26) and max_candidates (32-&gt;48)</w:t>
            </w:r>
          </w:p>
        </w:tc>
        <w:tc>
          <w:tcPr>
            <w:tcW w:type="dxa" w:w="3312"/>
          </w:tcPr>
          <w:p>
            <w:pPr>
              <w:spacing w:after="20"/>
            </w:pPr>
            <w:r/>
            <w:r>
              <w:rPr>
                <w:sz w:val="18"/>
              </w:rPr>
              <w:t>Recall is now the binding constraint, and the matcher rejects extra candidates reliably so the cost is compute rather than precision</w:t>
            </w:r>
          </w:p>
        </w:tc>
        <w:tc>
          <w:tcPr>
            <w:tcW w:type="dxa" w:w="2088"/>
          </w:tcPr>
          <w:p>
            <w:pPr>
              <w:spacing w:after="20"/>
            </w:pPr>
            <w:r/>
            <w:r>
              <w:rPr>
                <w:sz w:val="18"/>
              </w:rPr>
              <w:t>+0.01 to +0.03 macro F0.5</w:t>
            </w:r>
          </w:p>
        </w:tc>
      </w:tr>
      <w:tr>
        <w:tc>
          <w:tcPr>
            <w:tcW w:type="dxa" w:w="504"/>
            <w:shd w:val="clear" w:color="auto" w:fill="F5F7FA"/>
          </w:tcPr>
          <w:p>
            <w:pPr>
              <w:spacing w:after="20"/>
            </w:pPr>
            <w:r/>
            <w:r>
              <w:rPr>
                <w:sz w:val="18"/>
              </w:rPr>
              <w:t>2</w:t>
            </w:r>
          </w:p>
        </w:tc>
        <w:tc>
          <w:tcPr>
            <w:tcW w:type="dxa" w:w="2880"/>
            <w:shd w:val="clear" w:color="auto" w:fill="F5F7FA"/>
          </w:tcPr>
          <w:p>
            <w:pPr>
              <w:spacing w:after="20"/>
            </w:pPr>
            <w:r/>
            <w:r>
              <w:rPr>
                <w:sz w:val="18"/>
              </w:rPr>
              <w:t>Give stage 2 the full feature matrix, spilling pairs to an on-disk float32 memmap</w:t>
            </w:r>
          </w:p>
        </w:tc>
        <w:tc>
          <w:tcPr>
            <w:tcW w:type="dxa" w:w="3312"/>
            <w:shd w:val="clear" w:color="auto" w:fill="F5F7FA"/>
          </w:tcPr>
          <w:p>
            <w:pPr>
              <w:spacing w:after="20"/>
            </w:pPr>
            <w:r/>
            <w:r>
              <w:rPr>
                <w:sz w:val="18"/>
              </w:rPr>
              <w:t>The truncation cost more than the graph features added; about 8.6 GB of disk for the largest partition, against 117 GB free</w:t>
            </w:r>
          </w:p>
        </w:tc>
        <w:tc>
          <w:tcPr>
            <w:tcW w:type="dxa" w:w="2088"/>
            <w:shd w:val="clear" w:color="auto" w:fill="F5F7FA"/>
          </w:tcPr>
          <w:p>
            <w:pPr>
              <w:spacing w:after="20"/>
            </w:pPr>
            <w:r/>
            <w:r>
              <w:rPr>
                <w:sz w:val="18"/>
              </w:rPr>
              <w:t>recovers the stage-2 regression</w:t>
            </w:r>
          </w:p>
        </w:tc>
      </w:tr>
      <w:tr>
        <w:tc>
          <w:tcPr>
            <w:tcW w:type="dxa" w:w="504"/>
          </w:tcPr>
          <w:p>
            <w:pPr>
              <w:spacing w:after="20"/>
            </w:pPr>
            <w:r/>
            <w:r>
              <w:rPr>
                <w:sz w:val="18"/>
              </w:rPr>
              <w:t>3</w:t>
            </w:r>
          </w:p>
        </w:tc>
        <w:tc>
          <w:tcPr>
            <w:tcW w:type="dxa" w:w="2880"/>
          </w:tcPr>
          <w:p>
            <w:pPr>
              <w:spacing w:after="20"/>
            </w:pPr>
            <w:r/>
            <w:r>
              <w:rPr>
                <w:sz w:val="18"/>
              </w:rPr>
              <w:t>Adopt stage 2 only if it beats stage 1 on validation AP, recorded in the model bundle</w:t>
            </w:r>
          </w:p>
        </w:tc>
        <w:tc>
          <w:tcPr>
            <w:tcW w:type="dxa" w:w="3312"/>
          </w:tcPr>
          <w:p>
            <w:pPr>
              <w:spacing w:after="20"/>
            </w:pPr>
            <w:r/>
            <w:r>
              <w:rPr>
                <w:sz w:val="18"/>
              </w:rPr>
              <w:t>Inference must not silently use a worse model</w:t>
            </w:r>
          </w:p>
        </w:tc>
        <w:tc>
          <w:tcPr>
            <w:tcW w:type="dxa" w:w="2088"/>
          </w:tcPr>
          <w:p>
            <w:pPr>
              <w:spacing w:after="20"/>
            </w:pPr>
            <w:r/>
            <w:r>
              <w:rPr>
                <w:sz w:val="18"/>
              </w:rPr>
              <w:t>removes a correctness risk</w:t>
            </w:r>
          </w:p>
        </w:tc>
      </w:tr>
      <w:tr>
        <w:tc>
          <w:tcPr>
            <w:tcW w:type="dxa" w:w="504"/>
            <w:shd w:val="clear" w:color="auto" w:fill="F5F7FA"/>
          </w:tcPr>
          <w:p>
            <w:pPr>
              <w:spacing w:after="20"/>
            </w:pPr>
            <w:r/>
            <w:r>
              <w:rPr>
                <w:sz w:val="18"/>
              </w:rPr>
              <w:t>4</w:t>
            </w:r>
          </w:p>
        </w:tc>
        <w:tc>
          <w:tcPr>
            <w:tcW w:type="dxa" w:w="2880"/>
            <w:shd w:val="clear" w:color="auto" w:fill="F5F7FA"/>
          </w:tcPr>
          <w:p>
            <w:pPr>
              <w:spacing w:after="20"/>
            </w:pPr>
            <w:r/>
            <w:r>
              <w:rPr>
                <w:sz w:val="18"/>
              </w:rPr>
              <w:t>Hold out India entirely, train on US only, validate on India</w:t>
            </w:r>
          </w:p>
        </w:tc>
        <w:tc>
          <w:tcPr>
            <w:tcW w:type="dxa" w:w="3312"/>
            <w:shd w:val="clear" w:color="auto" w:fill="F5F7FA"/>
          </w:tcPr>
          <w:p>
            <w:pPr>
              <w:spacing w:after="20"/>
            </w:pPr>
            <w:r/>
            <w:r>
              <w:rPr>
                <w:sz w:val="18"/>
              </w:rPr>
              <w:t>The only honest proxy for the France zero-shot setting available without labels</w:t>
            </w:r>
          </w:p>
        </w:tc>
        <w:tc>
          <w:tcPr>
            <w:tcW w:type="dxa" w:w="2088"/>
            <w:shd w:val="clear" w:color="auto" w:fill="F5F7FA"/>
          </w:tcPr>
          <w:p>
            <w:pPr>
              <w:spacing w:after="20"/>
            </w:pPr>
            <w:r/>
            <w:r>
              <w:rPr>
                <w:sz w:val="18"/>
              </w:rPr>
              <w:t>quantifies the largest unmeasured risk</w:t>
            </w:r>
          </w:p>
        </w:tc>
      </w:tr>
      <w:tr>
        <w:tc>
          <w:tcPr>
            <w:tcW w:type="dxa" w:w="504"/>
          </w:tcPr>
          <w:p>
            <w:pPr>
              <w:spacing w:after="20"/>
            </w:pPr>
            <w:r/>
            <w:r>
              <w:rPr>
                <w:sz w:val="18"/>
              </w:rPr>
              <w:t>5</w:t>
            </w:r>
          </w:p>
        </w:tc>
        <w:tc>
          <w:tcPr>
            <w:tcW w:type="dxa" w:w="2880"/>
          </w:tcPr>
          <w:p>
            <w:pPr>
              <w:spacing w:after="20"/>
            </w:pPr>
            <w:r/>
            <w:r>
              <w:rPr>
                <w:sz w:val="18"/>
              </w:rPr>
              <w:t>Target the India blocking gap (0.8413 vs 0.8792) with skeleton and landmark handling</w:t>
            </w:r>
          </w:p>
        </w:tc>
        <w:tc>
          <w:tcPr>
            <w:tcW w:type="dxa" w:w="3312"/>
          </w:tcPr>
          <w:p>
            <w:pPr>
              <w:spacing w:after="20"/>
            </w:pPr>
            <w:r/>
            <w:r>
              <w:rPr>
                <w:sz w:val="18"/>
              </w:rPr>
              <w:t>India is 47% of the test set and lags US by 3.8 points of recall</w:t>
            </w:r>
          </w:p>
        </w:tc>
        <w:tc>
          <w:tcPr>
            <w:tcW w:type="dxa" w:w="2088"/>
          </w:tcPr>
          <w:p>
            <w:pPr>
              <w:spacing w:after="20"/>
            </w:pPr>
            <w:r/>
            <w:r>
              <w:rPr>
                <w:sz w:val="18"/>
              </w:rPr>
              <w:t>largest single recall win available</w:t>
            </w:r>
          </w:p>
        </w:tc>
      </w:tr>
      <w:tr>
        <w:tc>
          <w:tcPr>
            <w:tcW w:type="dxa" w:w="504"/>
            <w:shd w:val="clear" w:color="auto" w:fill="F5F7FA"/>
          </w:tcPr>
          <w:p>
            <w:pPr>
              <w:spacing w:after="20"/>
            </w:pPr>
            <w:r/>
            <w:r>
              <w:rPr>
                <w:sz w:val="18"/>
              </w:rPr>
              <w:t>6</w:t>
            </w:r>
          </w:p>
        </w:tc>
        <w:tc>
          <w:tcPr>
            <w:tcW w:type="dxa" w:w="2880"/>
            <w:shd w:val="clear" w:color="auto" w:fill="F5F7FA"/>
          </w:tcPr>
          <w:p>
            <w:pPr>
              <w:spacing w:after="20"/>
            </w:pPr>
            <w:r/>
            <w:r>
              <w:rPr>
                <w:sz w:val="18"/>
              </w:rPr>
              <w:t>Validate E[F | k] against realised F per k on held-out data</w:t>
            </w:r>
          </w:p>
        </w:tc>
        <w:tc>
          <w:tcPr>
            <w:tcW w:type="dxa" w:w="3312"/>
            <w:shd w:val="clear" w:color="auto" w:fill="F5F7FA"/>
          </w:tcPr>
          <w:p>
            <w:pPr>
              <w:spacing w:after="20"/>
            </w:pPr>
            <w:r/>
            <w:r>
              <w:rPr>
                <w:sz w:val="18"/>
              </w:rPr>
              <w:t>Checks the Poisson-binomial independence approximation directly</w:t>
            </w:r>
          </w:p>
        </w:tc>
        <w:tc>
          <w:tcPr>
            <w:tcW w:type="dxa" w:w="2088"/>
            <w:shd w:val="clear" w:color="auto" w:fill="F5F7FA"/>
          </w:tcPr>
          <w:p>
            <w:pPr>
              <w:spacing w:after="20"/>
            </w:pPr>
            <w:r/>
            <w:r>
              <w:rPr>
                <w:sz w:val="18"/>
              </w:rPr>
              <w:t>confirms or falsifies the core claim</w:t>
            </w:r>
          </w:p>
        </w:tc>
      </w:tr>
    </w:tbl>
    <w:p>
      <w:pPr>
        <w:spacing w:after="0"/>
      </w:pPr>
    </w:p>
    <w:p>
      <w:r>
        <w:br w:type="page"/>
      </w:r>
    </w:p>
    <w:p>
      <w:pPr>
        <w:pStyle w:val="Heading1"/>
      </w:pPr>
      <w:r>
        <w:t>Appendix - Reproducing these numbers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1F3A5F"/>
          </w:tcPr>
          <w:p>
            <w:pPr>
              <w:spacing w:after="20"/>
            </w:pPr>
            <w:r/>
            <w:r>
              <w:rPr>
                <w:b/>
                <w:color w:val="FFFFFF"/>
                <w:sz w:val="18"/>
              </w:rPr>
              <w:t>Artifact</w:t>
            </w:r>
          </w:p>
        </w:tc>
        <w:tc>
          <w:tcPr>
            <w:tcW w:type="dxa" w:w="2448"/>
            <w:shd w:val="clear" w:color="auto" w:fill="1F3A5F"/>
          </w:tcPr>
          <w:p>
            <w:pPr>
              <w:spacing w:after="20"/>
            </w:pPr>
            <w:r/>
            <w:r>
              <w:rPr>
                <w:b/>
                <w:color w:val="FFFFFF"/>
                <w:sz w:val="18"/>
              </w:rPr>
              <w:t>Produced by</w:t>
            </w:r>
          </w:p>
        </w:tc>
        <w:tc>
          <w:tcPr>
            <w:tcW w:type="dxa" w:w="3312"/>
            <w:shd w:val="clear" w:color="auto" w:fill="1F3A5F"/>
          </w:tcPr>
          <w:p>
            <w:pPr>
              <w:spacing w:after="20"/>
            </w:pPr>
            <w:r/>
            <w:r>
              <w:rPr>
                <w:b/>
                <w:color w:val="FFFFFF"/>
                <w:sz w:val="18"/>
              </w:rPr>
              <w:t>Used for</w:t>
            </w:r>
          </w:p>
        </w:tc>
      </w:tr>
      <w:tr>
        <w:tc>
          <w:tcPr>
            <w:tcW w:type="dxa" w:w="3168"/>
          </w:tcPr>
          <w:p>
            <w:pPr>
              <w:spacing w:after="20"/>
            </w:pPr>
            <w:r/>
            <w:r>
              <w:rPr>
                <w:sz w:val="18"/>
              </w:rPr>
              <w:t>artifacts/store/*.parquet</w:t>
            </w:r>
          </w:p>
        </w:tc>
        <w:tc>
          <w:tcPr>
            <w:tcW w:type="dxa" w:w="2448"/>
          </w:tcPr>
          <w:p>
            <w:pPr>
              <w:spacing w:after="20"/>
            </w:pPr>
            <w:r/>
            <w:r>
              <w:rPr>
                <w:sz w:val="18"/>
              </w:rPr>
              <w:t>scripts/03_prepare.py</w:t>
            </w:r>
          </w:p>
        </w:tc>
        <w:tc>
          <w:tcPr>
            <w:tcW w:type="dxa" w:w="3312"/>
          </w:tcPr>
          <w:p>
            <w:pPr>
              <w:spacing w:after="20"/>
            </w:pPr>
            <w:r/>
            <w:r>
              <w:rPr>
                <w:sz w:val="18"/>
              </w:rPr>
              <w:t>normalised record store for all 7 input files</w:t>
            </w:r>
          </w:p>
        </w:tc>
      </w:tr>
      <w:tr>
        <w:tc>
          <w:tcPr>
            <w:tcW w:type="dxa" w:w="3168"/>
            <w:shd w:val="clear" w:color="auto" w:fill="F5F7FA"/>
          </w:tcPr>
          <w:p>
            <w:pPr>
              <w:spacing w:after="20"/>
            </w:pPr>
            <w:r/>
            <w:r>
              <w:rPr>
                <w:sz w:val="18"/>
              </w:rPr>
              <w:t>artifacts/variants.json</w:t>
            </w:r>
          </w:p>
        </w:tc>
        <w:tc>
          <w:tcPr>
            <w:tcW w:type="dxa" w:w="2448"/>
            <w:shd w:val="clear" w:color="auto" w:fill="F5F7FA"/>
          </w:tcPr>
          <w:p>
            <w:pPr>
              <w:spacing w:after="20"/>
            </w:pPr>
            <w:r/>
            <w:r>
              <w:rPr>
                <w:sz w:val="18"/>
              </w:rPr>
              <w:t>scripts/02_mine_variants.py</w:t>
            </w:r>
          </w:p>
        </w:tc>
        <w:tc>
          <w:tcPr>
            <w:tcW w:type="dxa" w:w="3312"/>
            <w:shd w:val="clear" w:color="auto" w:fill="F5F7FA"/>
          </w:tcPr>
          <w:p>
            <w:pPr>
              <w:spacing w:after="20"/>
            </w:pPr>
            <w:r/>
            <w:r>
              <w:rPr>
                <w:sz w:val="18"/>
              </w:rPr>
              <w:t>mined name/address variant maps (3.1.4)</w:t>
            </w:r>
          </w:p>
        </w:tc>
      </w:tr>
      <w:tr>
        <w:tc>
          <w:tcPr>
            <w:tcW w:type="dxa" w:w="3168"/>
          </w:tcPr>
          <w:p>
            <w:pPr>
              <w:spacing w:after="20"/>
            </w:pPr>
            <w:r/>
            <w:r>
              <w:rPr>
                <w:sz w:val="18"/>
              </w:rPr>
              <w:t>artifacts/blocking/sweep_US_fast.json</w:t>
            </w:r>
          </w:p>
        </w:tc>
        <w:tc>
          <w:tcPr>
            <w:tcW w:type="dxa" w:w="2448"/>
          </w:tcPr>
          <w:p>
            <w:pPr>
              <w:spacing w:after="20"/>
            </w:pPr>
            <w:r/>
            <w:r>
              <w:rPr>
                <w:sz w:val="18"/>
              </w:rPr>
              <w:t>scripts/04_blocking_eval.py</w:t>
            </w:r>
          </w:p>
        </w:tc>
        <w:tc>
          <w:tcPr>
            <w:tcW w:type="dxa" w:w="3312"/>
          </w:tcPr>
          <w:p>
            <w:pPr>
              <w:spacing w:after="20"/>
            </w:pPr>
            <w:r/>
            <w:r>
              <w:rPr>
                <w:sz w:val="18"/>
              </w:rPr>
              <w:t>blocking configuration sweep (3.2)</w:t>
            </w:r>
          </w:p>
        </w:tc>
      </w:tr>
      <w:tr>
        <w:tc>
          <w:tcPr>
            <w:tcW w:type="dxa" w:w="3168"/>
            <w:shd w:val="clear" w:color="auto" w:fill="F5F7FA"/>
          </w:tcPr>
          <w:p>
            <w:pPr>
              <w:spacing w:after="20"/>
            </w:pPr>
            <w:r/>
            <w:r>
              <w:rPr>
                <w:sz w:val="18"/>
              </w:rPr>
              <w:t>artifacts/blocking/eval_US_k30_sh1.json</w:t>
            </w:r>
          </w:p>
        </w:tc>
        <w:tc>
          <w:tcPr>
            <w:tcW w:type="dxa" w:w="2448"/>
            <w:shd w:val="clear" w:color="auto" w:fill="F5F7FA"/>
          </w:tcPr>
          <w:p>
            <w:pPr>
              <w:spacing w:after="20"/>
            </w:pPr>
            <w:r/>
            <w:r>
              <w:rPr>
                <w:sz w:val="18"/>
              </w:rPr>
              <w:t>scripts/04_blocking_eval.py</w:t>
            </w:r>
          </w:p>
        </w:tc>
        <w:tc>
          <w:tcPr>
            <w:tcW w:type="dxa" w:w="3312"/>
            <w:shd w:val="clear" w:color="auto" w:fill="F5F7FA"/>
          </w:tcPr>
          <w:p>
            <w:pPr>
              <w:spacing w:after="20"/>
            </w:pPr>
            <w:r/>
            <w:r>
              <w:rPr>
                <w:sz w:val="18"/>
              </w:rPr>
              <w:t>blended reference config, reduction ratio (3.2.1)</w:t>
            </w:r>
          </w:p>
        </w:tc>
      </w:tr>
      <w:tr>
        <w:tc>
          <w:tcPr>
            <w:tcW w:type="dxa" w:w="3168"/>
          </w:tcPr>
          <w:p>
            <w:pPr>
              <w:spacing w:after="20"/>
            </w:pPr>
            <w:r/>
            <w:r>
              <w:rPr>
                <w:sz w:val="18"/>
              </w:rPr>
              <w:t>artifacts/runs/smoke/metrics.json</w:t>
            </w:r>
          </w:p>
        </w:tc>
        <w:tc>
          <w:tcPr>
            <w:tcW w:type="dxa" w:w="2448"/>
          </w:tcPr>
          <w:p>
            <w:pPr>
              <w:spacing w:after="20"/>
            </w:pPr>
            <w:r/>
            <w:r>
              <w:rPr>
                <w:sz w:val="18"/>
              </w:rPr>
              <w:t>scripts/05_train.py</w:t>
            </w:r>
          </w:p>
        </w:tc>
        <w:tc>
          <w:tcPr>
            <w:tcW w:type="dxa" w:w="3312"/>
          </w:tcPr>
          <w:p>
            <w:pPr>
              <w:spacing w:after="20"/>
            </w:pPr>
            <w:r/>
            <w:r>
              <w:rPr>
                <w:sz w:val="18"/>
              </w:rPr>
              <w:t>every number in 3.2.2 through 3.7</w:t>
            </w:r>
          </w:p>
        </w:tc>
      </w:tr>
      <w:tr>
        <w:tc>
          <w:tcPr>
            <w:tcW w:type="dxa" w:w="3168"/>
            <w:shd w:val="clear" w:color="auto" w:fill="F5F7FA"/>
          </w:tcPr>
          <w:p>
            <w:pPr>
              <w:spacing w:after="20"/>
            </w:pPr>
            <w:r/>
            <w:r>
              <w:rPr>
                <w:sz w:val="18"/>
              </w:rPr>
              <w:t>artifacts/runs/smoke/model.pkl</w:t>
            </w:r>
          </w:p>
        </w:tc>
        <w:tc>
          <w:tcPr>
            <w:tcW w:type="dxa" w:w="2448"/>
            <w:shd w:val="clear" w:color="auto" w:fill="F5F7FA"/>
          </w:tcPr>
          <w:p>
            <w:pPr>
              <w:spacing w:after="20"/>
            </w:pPr>
            <w:r/>
            <w:r>
              <w:rPr>
                <w:sz w:val="18"/>
              </w:rPr>
              <w:t>scripts/05_train.py</w:t>
            </w:r>
          </w:p>
        </w:tc>
        <w:tc>
          <w:tcPr>
            <w:tcW w:type="dxa" w:w="3312"/>
            <w:shd w:val="clear" w:color="auto" w:fill="F5F7FA"/>
          </w:tcPr>
          <w:p>
            <w:pPr>
              <w:spacing w:after="20"/>
            </w:pPr>
            <w:r/>
            <w:r>
              <w:rPr>
                <w:sz w:val="18"/>
              </w:rPr>
              <w:t>stage-1/stage-2 models plus calibrators</w:t>
            </w:r>
          </w:p>
        </w:tc>
      </w:tr>
      <w:tr>
        <w:tc>
          <w:tcPr>
            <w:tcW w:type="dxa" w:w="3168"/>
          </w:tcPr>
          <w:p>
            <w:pPr>
              <w:spacing w:after="20"/>
            </w:pPr>
            <w:r/>
            <w:r>
              <w:rPr>
                <w:sz w:val="18"/>
              </w:rPr>
              <w:t>artifacts/runs/smoke/val_pairs.npz</w:t>
            </w:r>
          </w:p>
        </w:tc>
        <w:tc>
          <w:tcPr>
            <w:tcW w:type="dxa" w:w="2448"/>
          </w:tcPr>
          <w:p>
            <w:pPr>
              <w:spacing w:after="20"/>
            </w:pPr>
            <w:r/>
            <w:r>
              <w:rPr>
                <w:sz w:val="18"/>
              </w:rPr>
              <w:t>scripts/05_train.py</w:t>
            </w:r>
          </w:p>
        </w:tc>
        <w:tc>
          <w:tcPr>
            <w:tcW w:type="dxa" w:w="3312"/>
          </w:tcPr>
          <w:p>
            <w:pPr>
              <w:spacing w:after="20"/>
            </w:pPr>
            <w:r/>
            <w:r>
              <w:rPr>
                <w:sz w:val="18"/>
              </w:rPr>
              <w:t>validation probabilities for re-deciding without re-scoring</w:t>
            </w:r>
          </w:p>
        </w:tc>
      </w:tr>
      <w:tr>
        <w:tc>
          <w:tcPr>
            <w:tcW w:type="dxa" w:w="3168"/>
            <w:shd w:val="clear" w:color="auto" w:fill="F5F7FA"/>
          </w:tcPr>
          <w:p>
            <w:pPr>
              <w:spacing w:after="20"/>
            </w:pPr>
            <w:r/>
            <w:r>
              <w:rPr>
                <w:sz w:val="18"/>
              </w:rPr>
              <w:t>output/*.tsv</w:t>
            </w:r>
          </w:p>
        </w:tc>
        <w:tc>
          <w:tcPr>
            <w:tcW w:type="dxa" w:w="2448"/>
            <w:shd w:val="clear" w:color="auto" w:fill="F5F7FA"/>
          </w:tcPr>
          <w:p>
            <w:pPr>
              <w:spacing w:after="20"/>
            </w:pPr>
            <w:r/>
            <w:r>
              <w:rPr>
                <w:sz w:val="18"/>
              </w:rPr>
              <w:t>scripts/06_infer.py</w:t>
            </w:r>
          </w:p>
        </w:tc>
        <w:tc>
          <w:tcPr>
            <w:tcW w:type="dxa" w:w="3312"/>
            <w:shd w:val="clear" w:color="auto" w:fill="F5F7FA"/>
          </w:tcPr>
          <w:p>
            <w:pPr>
              <w:spacing w:after="20"/>
            </w:pPr>
            <w:r/>
            <w:r>
              <w:rPr>
                <w:sz w:val="18"/>
              </w:rPr>
              <w:t>submission files</w:t>
            </w:r>
          </w:p>
        </w:tc>
      </w:tr>
    </w:tbl>
    <w:p>
      <w:pPr>
        <w:spacing w:after="0"/>
      </w:pPr>
    </w:p>
    <w:p>
      <w:r>
        <w:rPr>
          <w:b w:val="0"/>
          <w:i w:val="0"/>
        </w:rPr>
        <w:t>Configuration of the run reported in Part 3:</w:t>
      </w:r>
    </w:p>
    <w:p>
      <w:pPr>
        <w:spacing w:before="80" w:after="160" w:line="240" w:lineRule="auto"/>
        <w:ind w:left="317"/>
        <w:shd w:val="clear" w:color="auto" w:fill="F2F4F7"/>
      </w:pPr>
      <w:r>
        <w:rPr>
          <w:rFonts w:ascii="Consolas" w:hAnsi="Consolas"/>
          <w:sz w:val="18"/>
        </w:rPr>
        <w:t>{</w:t>
        <w:br/>
        <w:t xml:space="preserve">  "entities": 4000,</w:t>
        <w:br/>
        <w:t xml:space="preserve">  "val_fraction": 0.25,</w:t>
        <w:br/>
        <w:t xml:space="preserve">  "holdout_country": null,</w:t>
        <w:br/>
        <w:t xml:space="preserve">  "run_id": "smoke",</w:t>
        <w:br/>
        <w:t xml:space="preserve">  "seed": 20260925,</w:t>
        <w:br/>
        <w:t xml:space="preserve">  "max_emit": 25</w:t>
        <w:br/>
        <w:t>}</w:t>
      </w:r>
    </w:p>
    <w:p>
      <w:r>
        <w:rPr>
          <w:b w:val="0"/>
          <w:i w:val="0"/>
        </w:rPr>
        <w:t>This document is generated by scripts/make_report_docx.py, which reads the artifacts above directly. Regenerating it after a new run refreshes every table in Part 3, so the narrative cannot drift from the measurements.</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Amazon ML Challenge 2026 - Business Entity Resolution - TRICE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