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Arial" w:cs="Arial" w:eastAsia="Arial" w:hAnsi="Arial"/>
          <w:b/>
          <w:bCs/>
          <w:color w:val="1B4D3E"/>
          <w:sz w:val="34"/>
          <w:szCs w:val="34"/>
        </w:rPr>
        <w:t xml:space="preserve">全系列安全等级/证据等级汇总盘点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B8C5A"/>
          <w:sz w:val="20"/>
          <w:szCs w:val="20"/>
        </w:rPr>
        <w:t xml:space="preserve">ijan.app 冷域本草·研发智库 | 2026-06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D3E"/>
          <w:sz w:val="32"/>
          <w:szCs w:val="32"/>
        </w:rPr>
        <w:t xml:space="preserve">范围与局限说明（务必先读）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本盘点基于本次会话中实际生成过的文档/SQL草稿内容整理，反映"讨论并整理过的内容"，不是"数据库当前真实状态"。本工具无Supabase连接权限，无法确认脚本执行状态。真实数据库状态需在Supabase端直接查询。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D3E"/>
          <w:sz w:val="32"/>
          <w:szCs w:val="32"/>
        </w:rPr>
        <w:t xml:space="preserve">一、最高安全等级：禁止常规配方使用（乌头属剧毒物种，共3个）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物种</w:t>
            </w:r>
          </w:p>
        </w:tc>
        <w:tc>
          <w:tcPr>
            <w:tcW w:type="dxa" w:w="32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学名</w:t>
            </w:r>
          </w:p>
        </w:tc>
        <w:tc>
          <w:tcPr>
            <w:tcW w:type="dxa" w:w="3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核心毒性成分</w:t>
            </w:r>
          </w:p>
        </w:tc>
      </w:tr>
      <w:tr>
        <w:tc>
          <w:tcPr>
            <w:tcW w:type="dxa" w:w="20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羊角七</w:t>
            </w:r>
          </w:p>
        </w:tc>
        <w:tc>
          <w:tcPr>
            <w:tcW w:type="dxa" w:w="32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Aconitum sungpanense</w:t>
            </w:r>
          </w:p>
        </w:tc>
        <w:tc>
          <w:tcPr>
            <w:tcW w:type="dxa" w:w="3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乌头碱、滇乌碱、瓜叶乌头甲素等</w:t>
            </w:r>
          </w:p>
        </w:tc>
      </w:tr>
      <w:tr>
        <w:tc>
          <w:tcPr>
            <w:tcW w:type="dxa" w:w="20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金牛七</w:t>
            </w:r>
          </w:p>
        </w:tc>
        <w:tc>
          <w:tcPr>
            <w:tcW w:type="dxa" w:w="32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Aconitum taipeicum</w:t>
            </w:r>
          </w:p>
        </w:tc>
        <w:tc>
          <w:tcPr>
            <w:tcW w:type="dxa" w:w="3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滇乌碱、新乌宁碱、次乌头碱等</w:t>
            </w:r>
          </w:p>
        </w:tc>
      </w:tr>
      <w:tr>
        <w:tc>
          <w:tcPr>
            <w:tcW w:type="dxa" w:w="20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铁牛七</w:t>
            </w:r>
          </w:p>
        </w:tc>
        <w:tc>
          <w:tcPr>
            <w:tcW w:type="dxa" w:w="32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Aconitum penduli</w:t>
            </w:r>
          </w:p>
        </w:tc>
        <w:tc>
          <w:tcPr>
            <w:tcW w:type="dxa" w:w="3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乌头碱、雪乌碱等（谱系最复杂）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三者处理原则统一：不进配方库，浓度字段禁填，最高优先级警示。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D3E"/>
          <w:sz w:val="32"/>
          <w:szCs w:val="32"/>
        </w:rPr>
        <w:t xml:space="preserve">二、高警示等级：含明确毒性/风险成分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物种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风险要点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毛细辛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黄樟醚、甲基丁香酚——需分子蒸馏分离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朱砂七/鸡血七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蒽醌+白藜芦醇糖苷协同肝毒性（何首乌前车之鉴）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青蛙七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性寒有毒，孕妇忌服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枇杷芋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小毒，阴虚火旺/燥热咳嗽者禁服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狮子七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氰苷-百脉根苷（红景天属首次发现毒性）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川骨七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白头翁素（皮肤黏膜刺激性）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祖师麻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瑞香毒素，书中已标小毒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荞叶七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书中标小毒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老虎七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IVHD-valtrate双面活性+DBP外源污染物已隔离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D3E"/>
          <w:sz w:val="32"/>
          <w:szCs w:val="32"/>
        </w:rPr>
        <w:t xml:space="preserve">三、证据修正记录：曾被推翻或修正的错误声称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60"/>
      </w:tblGrid>
      <w:tr>
        <w:trPr>
          <w:tblHeader/>
        </w:trP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修正结果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积雪草"高海拔更强"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真实驱动因素是产地/季节，非海拔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洋甘菊母菊薁"高山更高"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真实变量是蒸馏工艺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薰衣草乙酸芳樟酯"高山更高"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实际不受海拔影响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芦荟多糖分子量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修正为活性窗口1-2 MDa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Bakuchiol的RAR机制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原始论文未做受体实验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前胡PpMYB具体实验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仅为共表达聚类间接证据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沙棘THQ/HI/TCR数值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原文仅为未来展望非已完成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芳樟醇手性来源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肉桂真实归属方向相反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苯乙烯生物合成机制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仅证于真菌/细菌非植物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金刚刺广谱抗菌清单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文献实证方向是细胞毒性非抗菌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鸡血七/扫帚七病原体清单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规模远超找到的实际数据</w:t>
            </w:r>
          </w:p>
        </w:tc>
      </w:tr>
      <w:tr>
        <w:tc>
          <w:tcPr>
            <w:tcW w:type="dxa" w:w="3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荞麦七"生物碱"列表</w:t>
            </w:r>
          </w:p>
        </w:tc>
        <w:tc>
          <w:tcPr>
            <w:tcW w:type="dxa" w:w="61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判断为书籍排版错误，实际不含生物碱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D3E"/>
          <w:sz w:val="32"/>
          <w:szCs w:val="32"/>
        </w:rPr>
        <w:t xml:space="preserve">四、证据强度A/B/C三级分级（已修正方向）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60"/>
      </w:tblGrid>
      <w:tr>
        <w:trPr>
          <w:tblHeader/>
        </w:trPr>
        <w:tc>
          <w:tcPr>
            <w:tcW w:type="dxa" w:w="1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83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A级</w:t>
            </w:r>
          </w:p>
        </w:tc>
        <w:tc>
          <w:tcPr>
            <w:tcW w:type="dxa" w:w="83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该物种已有部分直接证据，验证门槛最低（如积雪草TSAR2）</w:t>
            </w:r>
          </w:p>
        </w:tc>
      </w:tr>
      <w:tr>
        <w:tc>
          <w:tcPr>
            <w:tcW w:type="dxa" w:w="1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B级</w:t>
            </w:r>
          </w:p>
        </w:tc>
        <w:tc>
          <w:tcPr>
            <w:tcW w:type="dxa" w:w="83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强保守跨物种模型类比（如金缕梅MBW假说）</w:t>
            </w:r>
          </w:p>
        </w:tc>
      </w:tr>
      <w:tr>
        <w:tc>
          <w:tcPr>
            <w:tcW w:type="dxa" w:w="16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C级</w:t>
            </w:r>
          </w:p>
        </w:tc>
        <w:tc>
          <w:tcPr>
            <w:tcW w:type="dxa" w:w="83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纯推测无类比基础，需从零开始（如早期红景天苷案例）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D3E"/>
          <w:sz w:val="32"/>
          <w:szCs w:val="32"/>
        </w:rPr>
        <w:t xml:space="preserve">五、待独立核实清单（未证实也未证伪）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物种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1B4D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待核实内容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鸡头七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广谱抗病原微生物清单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金刚刺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约10种菌的抑制数据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秤杆七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四种致病菌抑制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金荞麦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多种禽畜病原菌抑制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decursinol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MAPK1等五靶标分子对接数据</w:t>
            </w:r>
          </w:p>
        </w:tc>
      </w:tr>
      <w:tr>
        <w:tc>
          <w:tcPr>
            <w:tcW w:type="dxa" w:w="240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金缕梅+肉桂醛</w:t>
            </w:r>
          </w:p>
        </w:tc>
        <w:tc>
          <w:tcPr>
            <w:tcW w:type="dxa" w:w="6960"/>
            <w:tcBorders>
              <w:top w:val="single" w:color="A5C9A8" w:sz="1"/>
              <w:left w:val="single" w:color="A5C9A8" w:sz="1"/>
              <w:bottom w:val="single" w:color="A5C9A8" w:sz="1"/>
              <w:right w:val="single" w:color="A5C9A8" w:sz="1"/>
            </w:tcBorders>
            <w:shd w:fill="F5F7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协同抗菌假说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D3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2026-07-02T03:31:53.830Z</dcterms:created>
  <dcterms:modified xsi:type="dcterms:W3CDTF">2026-07-02T03:31:53.843Z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