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9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-12700</wp:posOffset>
            </wp:positionH>
            <wp:positionV relativeFrom="page">
              <wp:posOffset>-16510</wp:posOffset>
            </wp:positionV>
            <wp:extent cx="7796530" cy="6712325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96530" cy="671232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63500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6350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2" w:lineRule="exact" w:before="262" w:after="0"/>
        <w:ind w:left="7464" w:right="144" w:hanging="3168"/>
        <w:jc w:val="left"/>
      </w:pPr>
      <w:r>
        <w:rPr>
          <w:rFonts w:ascii="Futura" w:hAnsi="Futura" w:eastAsia="Futura"/>
          <w:b w:val="0"/>
          <w:i w:val="0"/>
          <w:color w:val="FFFFFF"/>
          <w:sz w:val="38"/>
        </w:rPr>
        <w:t xml:space="preserve">Strategic HR Management </w:t>
      </w:r>
      <w:r>
        <w:rPr>
          <w:rFonts w:ascii="Futura" w:hAnsi="Futura" w:eastAsia="Futura"/>
          <w:b w:val="0"/>
          <w:i w:val="0"/>
          <w:color w:val="FFFFFF"/>
          <w:sz w:val="24"/>
        </w:rPr>
        <w:t>case study–PART A</w:t>
      </w:r>
    </w:p>
    <w:p>
      <w:pPr>
        <w:autoSpaceDN w:val="0"/>
        <w:autoSpaceDE w:val="0"/>
        <w:widowControl/>
        <w:spacing w:line="494" w:lineRule="exact" w:before="7346" w:after="0"/>
        <w:ind w:left="0" w:right="20" w:firstLine="0"/>
        <w:jc w:val="right"/>
      </w:pPr>
      <w:r>
        <w:rPr>
          <w:rFonts w:ascii="Futura" w:hAnsi="Futura" w:eastAsia="Futura"/>
          <w:b w:val="0"/>
          <w:i w:val="0"/>
          <w:color w:val="FFFFFF"/>
          <w:sz w:val="38"/>
        </w:rPr>
        <w:t xml:space="preserve">IBM’s Global Talent Management Strategy: </w:t>
      </w:r>
    </w:p>
    <w:p>
      <w:pPr>
        <w:autoSpaceDN w:val="0"/>
        <w:autoSpaceDE w:val="0"/>
        <w:widowControl/>
        <w:spacing w:line="390" w:lineRule="exact" w:before="68" w:after="0"/>
        <w:ind w:left="0" w:right="140" w:firstLine="0"/>
        <w:jc w:val="right"/>
      </w:pPr>
      <w:r>
        <w:rPr>
          <w:rFonts w:ascii="Futura" w:hAnsi="Futura" w:eastAsia="Futura"/>
          <w:b w:val="0"/>
          <w:i w:val="0"/>
          <w:color w:val="FFFFFF"/>
          <w:sz w:val="30"/>
        </w:rPr>
        <w:t>The Vision of the Globally Integrated Enterprise</w:t>
      </w:r>
    </w:p>
    <w:p>
      <w:pPr>
        <w:autoSpaceDN w:val="0"/>
        <w:autoSpaceDE w:val="0"/>
        <w:widowControl/>
        <w:spacing w:line="312" w:lineRule="exact" w:before="456" w:after="0"/>
        <w:ind w:left="0" w:right="156" w:firstLine="0"/>
        <w:jc w:val="right"/>
      </w:pPr>
      <w:r>
        <w:rPr>
          <w:rFonts w:ascii="Futura" w:hAnsi="Futura" w:eastAsia="Futura"/>
          <w:b w:val="0"/>
          <w:i/>
          <w:color w:val="6D6E71"/>
          <w:sz w:val="24"/>
        </w:rPr>
        <w:t>By John W. Boudreau, Ph.D.</w:t>
      </w:r>
    </w:p>
    <w:p>
      <w:pPr>
        <w:sectPr>
          <w:pgSz w:w="12240" w:h="15840"/>
          <w:pgMar w:top="316" w:right="942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316"/>
        <w:ind w:left="0" w:right="0"/>
      </w:pPr>
    </w:p>
    <w:p>
      <w:pPr>
        <w:autoSpaceDN w:val="0"/>
        <w:autoSpaceDE w:val="0"/>
        <w:widowControl/>
        <w:spacing w:line="242" w:lineRule="exact" w:before="0" w:after="0"/>
        <w:ind w:left="0" w:right="0" w:firstLine="0"/>
        <w:jc w:val="left"/>
      </w:pPr>
      <w:r>
        <w:rPr>
          <w:rFonts w:ascii="AkzidenzGroteskBE" w:hAnsi="AkzidenzGroteskBE" w:eastAsia="AkzidenzGroteskBE"/>
          <w:b w:val="0"/>
          <w:i w:val="0"/>
          <w:color w:val="000000"/>
          <w:sz w:val="20"/>
        </w:rPr>
        <w:t xml:space="preserve">Project Team </w:t>
      </w:r>
    </w:p>
    <w:p>
      <w:pPr>
        <w:autoSpaceDN w:val="0"/>
        <w:tabs>
          <w:tab w:pos="2760" w:val="left"/>
        </w:tabs>
        <w:autoSpaceDE w:val="0"/>
        <w:widowControl/>
        <w:spacing w:line="234" w:lineRule="exact" w:before="98" w:after="0"/>
        <w:ind w:left="0" w:right="0" w:firstLine="0"/>
        <w:jc w:val="left"/>
      </w:pP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Author: </w:t>
      </w:r>
      <w:r>
        <w:tab/>
      </w:r>
      <w:r>
        <w:rPr>
          <w:rFonts w:ascii="Galliard" w:hAnsi="Galliard" w:eastAsia="Galliard"/>
          <w:b w:val="0"/>
          <w:i w:val="0"/>
          <w:color w:val="000000"/>
          <w:sz w:val="19"/>
        </w:rPr>
        <w:t>John W. Boudreau, Ph.D.</w:t>
      </w:r>
    </w:p>
    <w:p>
      <w:pPr>
        <w:autoSpaceDN w:val="0"/>
        <w:tabs>
          <w:tab w:pos="2760" w:val="left"/>
        </w:tabs>
        <w:autoSpaceDE w:val="0"/>
        <w:widowControl/>
        <w:spacing w:line="234" w:lineRule="exact" w:before="170" w:after="0"/>
        <w:ind w:left="0" w:right="0" w:firstLine="0"/>
        <w:jc w:val="left"/>
      </w:pP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SHRM project contributor: </w:t>
      </w:r>
      <w:r>
        <w:tab/>
      </w:r>
      <w:r>
        <w:rPr>
          <w:rFonts w:ascii="Galliard" w:hAnsi="Galliard" w:eastAsia="Galliard"/>
          <w:b w:val="0"/>
          <w:i w:val="0"/>
          <w:color w:val="000000"/>
          <w:sz w:val="19"/>
        </w:rPr>
        <w:t>Nancy A. Woolever, SPHR</w:t>
      </w:r>
    </w:p>
    <w:p>
      <w:pPr>
        <w:autoSpaceDN w:val="0"/>
        <w:tabs>
          <w:tab w:pos="2760" w:val="left"/>
        </w:tabs>
        <w:autoSpaceDE w:val="0"/>
        <w:widowControl/>
        <w:spacing w:line="260" w:lineRule="exact" w:before="144" w:after="0"/>
        <w:ind w:left="0" w:right="5616" w:firstLine="0"/>
        <w:jc w:val="left"/>
      </w:pP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External contributors: </w:t>
      </w:r>
      <w:r>
        <w:tab/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Randy MacDonald </w:t>
      </w:r>
      <w:r>
        <w:br/>
      </w:r>
      <w:r>
        <w:tab/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Richard Calo </w:t>
      </w:r>
      <w:r>
        <w:br/>
      </w:r>
      <w:r>
        <w:tab/>
      </w:r>
      <w:r>
        <w:rPr>
          <w:rFonts w:ascii="Galliard" w:hAnsi="Galliard" w:eastAsia="Galliard"/>
          <w:b w:val="0"/>
          <w:i w:val="0"/>
          <w:color w:val="000000"/>
          <w:sz w:val="19"/>
        </w:rPr>
        <w:t>Michelle Rzepnicki</w:t>
      </w:r>
    </w:p>
    <w:p>
      <w:pPr>
        <w:autoSpaceDN w:val="0"/>
        <w:tabs>
          <w:tab w:pos="2760" w:val="left"/>
        </w:tabs>
        <w:autoSpaceDE w:val="0"/>
        <w:widowControl/>
        <w:spacing w:line="232" w:lineRule="exact" w:before="172" w:after="0"/>
        <w:ind w:left="0" w:right="0" w:firstLine="0"/>
        <w:jc w:val="left"/>
      </w:pP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Copy editing: </w:t>
      </w:r>
      <w:r>
        <w:tab/>
      </w:r>
      <w:r>
        <w:rPr>
          <w:rFonts w:ascii="Galliard" w:hAnsi="Galliard" w:eastAsia="Galliard"/>
          <w:b w:val="0"/>
          <w:i w:val="0"/>
          <w:color w:val="000000"/>
          <w:sz w:val="19"/>
        </w:rPr>
        <w:t>Katya Scanlan</w:t>
      </w:r>
    </w:p>
    <w:p>
      <w:pPr>
        <w:autoSpaceDN w:val="0"/>
        <w:tabs>
          <w:tab w:pos="2760" w:val="left"/>
        </w:tabs>
        <w:autoSpaceDE w:val="0"/>
        <w:widowControl/>
        <w:spacing w:line="232" w:lineRule="exact" w:before="172" w:after="0"/>
        <w:ind w:left="0" w:right="0" w:firstLine="0"/>
        <w:jc w:val="left"/>
      </w:pP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Design: </w:t>
      </w:r>
      <w:r>
        <w:tab/>
      </w:r>
      <w:r>
        <w:rPr>
          <w:rFonts w:ascii="Galliard" w:hAnsi="Galliard" w:eastAsia="Galliard"/>
          <w:b w:val="0"/>
          <w:i w:val="0"/>
          <w:color w:val="000000"/>
          <w:sz w:val="19"/>
        </w:rPr>
        <w:t>Jihee Lombardi</w:t>
      </w:r>
    </w:p>
    <w:p>
      <w:pPr>
        <w:autoSpaceDN w:val="0"/>
        <w:autoSpaceDE w:val="0"/>
        <w:widowControl/>
        <w:spacing w:line="232" w:lineRule="exact" w:before="388" w:after="0"/>
        <w:ind w:left="0" w:right="0" w:firstLine="0"/>
        <w:jc w:val="left"/>
      </w:pP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© 2010 Society for Human Resource Management. John W. Boudreau, Ph.D. </w:t>
      </w:r>
    </w:p>
    <w:p>
      <w:pPr>
        <w:autoSpaceDN w:val="0"/>
        <w:autoSpaceDE w:val="0"/>
        <w:widowControl/>
        <w:spacing w:line="260" w:lineRule="exact" w:before="360" w:after="0"/>
        <w:ind w:left="0" w:right="864" w:firstLine="0"/>
        <w:jc w:val="left"/>
      </w:pP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Development of this case was made possible by a grant from the Society for Human Resource Management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and the National Academy of Human Resources. Information presented was current as of the time the case was </w:t>
      </w:r>
      <w:r>
        <w:rPr>
          <w:rFonts w:ascii="Galliard" w:hAnsi="Galliard" w:eastAsia="Galliard"/>
          <w:b w:val="0"/>
          <w:i w:val="0"/>
          <w:color w:val="000000"/>
          <w:sz w:val="19"/>
        </w:rPr>
        <w:t>written. Any errors are solely the author’s.</w:t>
      </w:r>
    </w:p>
    <w:p>
      <w:pPr>
        <w:autoSpaceDN w:val="0"/>
        <w:autoSpaceDE w:val="0"/>
        <w:widowControl/>
        <w:spacing w:line="260" w:lineRule="exact" w:before="360" w:after="0"/>
        <w:ind w:left="0" w:right="1008" w:firstLine="0"/>
        <w:jc w:val="left"/>
      </w:pPr>
      <w:r>
        <w:rPr>
          <w:rFonts w:ascii="AkzidenzGroteskBE" w:hAnsi="AkzidenzGroteskBE" w:eastAsia="AkzidenzGroteskBE"/>
          <w:b w:val="0"/>
          <w:i w:val="0"/>
          <w:color w:val="000000"/>
          <w:sz w:val="19"/>
        </w:rPr>
        <w:t>Note to HR faculty and instructors: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 SHRM cases and modules are intended for use in HR classrooms at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universities. Teaching notes are included with each. </w:t>
      </w:r>
      <w:r>
        <w:rPr>
          <w:rFonts w:ascii="Galliard" w:hAnsi="Galliard" w:eastAsia="Galliard"/>
          <w:b w:val="0"/>
          <w:i/>
          <w:color w:val="000000"/>
          <w:sz w:val="19"/>
        </w:rPr>
        <w:t xml:space="preserve">While our current intent is to make the materials available </w:t>
      </w:r>
      <w:r>
        <w:rPr>
          <w:rFonts w:ascii="Galliard" w:hAnsi="Galliard" w:eastAsia="Galliard"/>
          <w:b w:val="0"/>
          <w:i/>
          <w:color w:val="000000"/>
          <w:sz w:val="19"/>
        </w:rPr>
        <w:t>without charge, we reserve the right to impose charges should we deem it necessary to support the program.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 However,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currently, these resources are available free of charge to all. Please duplicate only the number of copies needed, </w:t>
      </w:r>
      <w:r>
        <w:rPr>
          <w:rFonts w:ascii="Galliard" w:hAnsi="Galliard" w:eastAsia="Galliard"/>
          <w:b w:val="0"/>
          <w:i w:val="0"/>
          <w:color w:val="000000"/>
          <w:sz w:val="19"/>
        </w:rPr>
        <w:t>one for each student in the class.</w:t>
      </w:r>
    </w:p>
    <w:p>
      <w:pPr>
        <w:autoSpaceDN w:val="0"/>
        <w:autoSpaceDE w:val="0"/>
        <w:widowControl/>
        <w:spacing w:line="260" w:lineRule="exact" w:before="360" w:after="0"/>
        <w:ind w:left="0" w:right="6048" w:firstLine="0"/>
        <w:jc w:val="left"/>
      </w:pP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For more information, please contact: </w:t>
      </w:r>
      <w:r>
        <w:br/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SHRM Academic Initiatives </w:t>
      </w:r>
      <w:r>
        <w:br/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1800 Duke Street, Alexandria, VA 22314, USA </w:t>
      </w:r>
      <w:r>
        <w:br/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Phone: (800) 283-7476 Fax: (703) 535-6432 </w:t>
      </w:r>
      <w:r>
        <w:br/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Web: www.shrm.org/education/hreducation </w:t>
      </w:r>
    </w:p>
    <w:p>
      <w:pPr>
        <w:autoSpaceDN w:val="0"/>
        <w:autoSpaceDE w:val="0"/>
        <w:widowControl/>
        <w:spacing w:line="148" w:lineRule="exact" w:before="240" w:after="0"/>
        <w:ind w:left="0" w:right="0" w:firstLine="0"/>
        <w:jc w:val="left"/>
      </w:pPr>
      <w:r>
        <w:rPr>
          <w:rFonts w:ascii="Galliard" w:hAnsi="Galliard" w:eastAsia="Galliard"/>
          <w:b w:val="0"/>
          <w:i w:val="0"/>
          <w:color w:val="000000"/>
          <w:sz w:val="12"/>
        </w:rPr>
        <w:t>10-0432-part A</w:t>
      </w:r>
    </w:p>
    <w:p>
      <w:pPr>
        <w:sectPr>
          <w:pgSz w:w="12240" w:h="15840"/>
          <w:pgMar w:top="1440" w:right="1440" w:bottom="344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60"/>
        <w:ind w:left="0" w:right="0"/>
      </w:pPr>
    </w:p>
    <w:p>
      <w:pPr>
        <w:autoSpaceDN w:val="0"/>
        <w:autoSpaceDE w:val="0"/>
        <w:widowControl/>
        <w:spacing w:line="778" w:lineRule="exact" w:before="28" w:after="0"/>
        <w:ind w:left="1080" w:right="0" w:firstLine="0"/>
        <w:jc w:val="left"/>
      </w:pPr>
      <w:r>
        <w:rPr>
          <w:rFonts w:ascii="Futura" w:hAnsi="Futura" w:eastAsia="Futura"/>
          <w:b w:val="0"/>
          <w:i w:val="0"/>
          <w:color w:val="00B5CC"/>
          <w:sz w:val="60"/>
        </w:rPr>
        <w:t>Case Study Part A</w:t>
      </w:r>
    </w:p>
    <w:p>
      <w:pPr>
        <w:autoSpaceDN w:val="0"/>
        <w:autoSpaceDE w:val="0"/>
        <w:widowControl/>
        <w:spacing w:line="242" w:lineRule="exact" w:before="920" w:after="0"/>
        <w:ind w:left="1080" w:right="0" w:firstLine="0"/>
        <w:jc w:val="left"/>
      </w:pPr>
      <w:r>
        <w:rPr>
          <w:rFonts w:ascii="AkzidenzGroteskBE" w:hAnsi="AkzidenzGroteskBE" w:eastAsia="AkzidenzGroteskBE"/>
          <w:b w:val="0"/>
          <w:i w:val="0"/>
          <w:color w:val="00B5CC"/>
          <w:sz w:val="20"/>
        </w:rPr>
        <w:t>Introduction</w:t>
      </w:r>
    </w:p>
    <w:p>
      <w:pPr>
        <w:autoSpaceDN w:val="0"/>
        <w:autoSpaceDE w:val="0"/>
        <w:widowControl/>
        <w:spacing w:line="260" w:lineRule="exact" w:before="72" w:after="0"/>
        <w:ind w:left="1080" w:right="3456" w:firstLine="0"/>
        <w:jc w:val="left"/>
      </w:pP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In early 2003, Randy MacDonald, the senior vice president of human resources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for IBM corporation, was in the midst of a 10-city-in-two-weeks business trip that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would take him from IBM’s headquarters in Armonk, NY, to several cities in Central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and Eastern Europe, Africa, India, China and several spots in Asia. His schedule was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a fitting metaphor for IBM’s strategic and human capital challenges. </w:t>
      </w:r>
    </w:p>
    <w:p>
      <w:pPr>
        <w:autoSpaceDN w:val="0"/>
        <w:autoSpaceDE w:val="0"/>
        <w:widowControl/>
        <w:spacing w:line="234" w:lineRule="exact" w:before="170" w:after="0"/>
        <w:ind w:left="1080" w:right="0" w:firstLine="0"/>
        <w:jc w:val="left"/>
      </w:pP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Randy was reviewing his recent meeting with Sam Palmisano, the CEO of IBM. </w:t>
      </w:r>
    </w:p>
    <w:p>
      <w:pPr>
        <w:autoSpaceDN w:val="0"/>
        <w:autoSpaceDE w:val="0"/>
        <w:widowControl/>
        <w:spacing w:line="260" w:lineRule="exact" w:before="0" w:after="0"/>
        <w:ind w:left="1080" w:right="3456" w:firstLine="0"/>
        <w:jc w:val="left"/>
      </w:pP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Randy had been the chief HR executive at IBM since 2000, joining when Lou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Gerstner was in the middle of his tenure as IBM’s CEO. Lou had been an outsider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to IBM, arriving at a time of great turmoil, when the corporation was near </w:t>
      </w:r>
      <w:r>
        <w:br/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bankruptcy, and remaking the organization with an eye toward global consulting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services. Sam Palmisano was an IBM insider, a 31-year veteran of the venerable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company, who had helped bring Gerstner’s vision to reality and now was building on </w:t>
      </w:r>
      <w:r>
        <w:rPr>
          <w:rFonts w:ascii="Galliard" w:hAnsi="Galliard" w:eastAsia="Galliard"/>
          <w:b w:val="0"/>
          <w:i w:val="0"/>
          <w:color w:val="000000"/>
          <w:sz w:val="19"/>
        </w:rPr>
        <w:t>that legacy of Gerstner.</w:t>
      </w:r>
    </w:p>
    <w:p>
      <w:pPr>
        <w:autoSpaceDN w:val="0"/>
        <w:autoSpaceDE w:val="0"/>
        <w:widowControl/>
        <w:spacing w:line="260" w:lineRule="exact" w:before="142" w:after="0"/>
        <w:ind w:left="1080" w:right="3456" w:firstLine="0"/>
        <w:jc w:val="left"/>
      </w:pP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In their meeting, Sam and Randy discussed IBM’s strategic view of the evolution of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global markets, IBM’s strategic position as a leader in global transformation and the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evolving needs of IBM’s clients. These views later led to an article in </w:t>
      </w:r>
      <w:r>
        <w:rPr>
          <w:rFonts w:ascii="Galliard" w:hAnsi="Galliard" w:eastAsia="Galliard"/>
          <w:b w:val="0"/>
          <w:i/>
          <w:color w:val="000000"/>
          <w:sz w:val="19"/>
        </w:rPr>
        <w:t xml:space="preserve">Foreign Affairs </w:t>
      </w:r>
      <w:r>
        <w:rPr>
          <w:rFonts w:ascii="Galliard" w:hAnsi="Galliard" w:eastAsia="Galliard"/>
          <w:b w:val="0"/>
          <w:i/>
          <w:color w:val="000000"/>
          <w:sz w:val="19"/>
        </w:rPr>
        <w:t>Magazine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 in 2006.</w:t>
      </w:r>
      <w:r>
        <w:rPr>
          <w:rFonts w:ascii="Galliard" w:hAnsi="Galliard" w:eastAsia="Galliard"/>
          <w:b w:val="0"/>
          <w:i w:val="0"/>
          <w:color w:val="000000"/>
          <w:sz w:val="11"/>
        </w:rPr>
        <w:t>1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 In that article, Sam Palmisano described IBM’s predictions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about the evolution of new organizational forms, where the production of goods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and services flowed globally to the places where the greatest benefit could be created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at the most efficient cost. It was already apparent that supply chains were becoming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much more global and transcending organizational boundaries. IBM’s clients were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increasingly seeing that same trend in other areas, such as marketing, R&amp;D, sales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and engineering. Future organizations (IBM’s clients and those that hoped to serve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them profitably) would evolve from the traditional “multinational” approach, which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“organized production market by market, within the traditional boundaries of the </w:t>
      </w:r>
      <w:r>
        <w:rPr>
          <w:rFonts w:ascii="Galliard" w:hAnsi="Galliard" w:eastAsia="Galliard"/>
          <w:b w:val="0"/>
          <w:i w:val="0"/>
          <w:color w:val="000000"/>
          <w:sz w:val="19"/>
        </w:rPr>
        <w:t>nation-state.”</w:t>
      </w:r>
      <w:r>
        <w:rPr>
          <w:rFonts w:ascii="Galliard" w:hAnsi="Galliard" w:eastAsia="Galliard"/>
          <w:b w:val="0"/>
          <w:i w:val="0"/>
          <w:color w:val="000000"/>
          <w:sz w:val="11"/>
        </w:rPr>
        <w:t>2</w:t>
      </w:r>
    </w:p>
    <w:p>
      <w:pPr>
        <w:autoSpaceDN w:val="0"/>
        <w:autoSpaceDE w:val="0"/>
        <w:widowControl/>
        <w:spacing w:line="260" w:lineRule="exact" w:before="144" w:after="0"/>
        <w:ind w:left="1080" w:right="3456" w:firstLine="0"/>
        <w:jc w:val="left"/>
      </w:pP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These ideas also recognized that trade and investment flows across national </w:t>
      </w:r>
      <w:r>
        <w:br/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boundaries had liberalized, protectionism was reducing, and technological advances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vastly lowered the cost of global communications and business computing, leading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to shared business standards throughout much of the world. This changed the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idea of what was possible through globalization. As Sam put it in the </w:t>
      </w:r>
      <w:r>
        <w:rPr>
          <w:rFonts w:ascii="Galliard" w:hAnsi="Galliard" w:eastAsia="Galliard"/>
          <w:b w:val="0"/>
          <w:i/>
          <w:color w:val="000000"/>
          <w:sz w:val="19"/>
        </w:rPr>
        <w:t xml:space="preserve">Foreign </w:t>
      </w:r>
      <w:r>
        <w:rPr>
          <w:rFonts w:ascii="Galliard" w:hAnsi="Galliard" w:eastAsia="Galliard"/>
          <w:b w:val="0"/>
          <w:i/>
          <w:color w:val="000000"/>
          <w:sz w:val="19"/>
        </w:rPr>
        <w:t>Affairs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 article, “Together, new perceptions of the permissible and the possible have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deepened the process of corporate globalization by shifting its focus from products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to production—from what things companies choose to make to how they choose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to make them, from what services they offer to how they choose to deliver them.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Simply put, the emerging globally integrated enterprise is a company that fashions its </w:t>
      </w:r>
    </w:p>
    <w:p>
      <w:pPr>
        <w:autoSpaceDN w:val="0"/>
        <w:autoSpaceDE w:val="0"/>
        <w:widowControl/>
        <w:spacing w:line="182" w:lineRule="exact" w:before="698" w:after="0"/>
        <w:ind w:left="0" w:right="122" w:firstLine="0"/>
        <w:jc w:val="right"/>
      </w:pPr>
      <w:r>
        <w:rPr>
          <w:rFonts w:ascii="Futura" w:hAnsi="Futura" w:eastAsia="Futura"/>
          <w:b w:val="0"/>
          <w:i w:val="0"/>
          <w:color w:val="00B5CC"/>
          <w:sz w:val="14"/>
        </w:rPr>
        <w:t xml:space="preserve">© 2010 Society for Human Resource Management. John W. Boudreau, Ph.D.  </w:t>
      </w:r>
      <w:r>
        <w:rPr>
          <w:rFonts w:ascii="Futura" w:hAnsi="Futura" w:eastAsia="Futura"/>
          <w:b w:val="0"/>
          <w:i w:val="0"/>
          <w:color w:val="000000"/>
          <w:sz w:val="14"/>
        </w:rPr>
        <w:t>1</w:t>
      </w:r>
    </w:p>
    <w:p>
      <w:pPr>
        <w:sectPr>
          <w:pgSz w:w="12240" w:h="15840"/>
          <w:pgMar w:top="1280" w:right="70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897890</wp:posOffset>
            </wp:positionH>
            <wp:positionV relativeFrom="page">
              <wp:posOffset>3463290</wp:posOffset>
            </wp:positionV>
            <wp:extent cx="5257800" cy="2822697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2269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50" w:lineRule="exact" w:before="0" w:after="0"/>
        <w:ind w:left="360" w:right="2736" w:firstLine="0"/>
        <w:jc w:val="left"/>
      </w:pP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strategy, its management and its operations in pursuit of a new goal: the integration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of production and value delivery worldwide. State borders define less and less the </w:t>
      </w:r>
      <w:r>
        <w:rPr>
          <w:rFonts w:ascii="Galliard" w:hAnsi="Galliard" w:eastAsia="Galliard"/>
          <w:b w:val="0"/>
          <w:i w:val="0"/>
          <w:color w:val="000000"/>
          <w:sz w:val="19"/>
        </w:rPr>
        <w:t>boundaries of corporate thinking or practice.”</w:t>
      </w:r>
      <w:r>
        <w:rPr>
          <w:rFonts w:ascii="Galliard" w:hAnsi="Galliard" w:eastAsia="Galliard"/>
          <w:b w:val="0"/>
          <w:i w:val="0"/>
          <w:color w:val="000000"/>
          <w:sz w:val="11"/>
        </w:rPr>
        <w:t>3</w:t>
      </w:r>
    </w:p>
    <w:p>
      <w:pPr>
        <w:autoSpaceDN w:val="0"/>
        <w:autoSpaceDE w:val="0"/>
        <w:widowControl/>
        <w:spacing w:line="260" w:lineRule="exact" w:before="144" w:after="204"/>
        <w:ind w:left="360" w:right="2736" w:firstLine="0"/>
        <w:jc w:val="left"/>
      </w:pP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Sam coined the phrase “Globally Integrated Enterprise” (GIE) to describe what he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had in mind. He foresaw that IBM’s clients would increasingly be moving toward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a GIE and that IBM needed to get ahead of that trend. This had implications for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every aspect of IBM, including significant implications for IBM’s supply chain, IT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systems, strategy, marketing and services development and deployment. Underlying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all of these implications were significant challenges for IBM’s human capital and its </w:t>
      </w:r>
      <w:r>
        <w:rPr>
          <w:rFonts w:ascii="Galliard" w:hAnsi="Galliard" w:eastAsia="Galliard"/>
          <w:b w:val="0"/>
          <w:i w:val="0"/>
          <w:color w:val="000000"/>
          <w:sz w:val="19"/>
        </w:rPr>
        <w:t>approach to human resource management.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10080"/>
      </w:tblGrid>
      <w:tr>
        <w:trPr>
          <w:trHeight w:hRule="exact" w:val="4100"/>
        </w:trPr>
        <w:tc>
          <w:tcPr>
            <w:tcW w:type="dxa" w:w="9046"/>
            <w:tcBorders>
              <w:start w:sz="8.0" w:val="single" w:color="#6D6E70"/>
              <w:top w:sz="8.0" w:val="single" w:color="#6D6E70"/>
              <w:end w:sz="8.0" w:val="single" w:color="#6D6E70"/>
              <w:bottom w:sz="8.0" w:val="single" w:color="#6D6E7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44" w:val="left"/>
              </w:tabs>
              <w:autoSpaceDE w:val="0"/>
              <w:widowControl/>
              <w:spacing w:line="216" w:lineRule="exact" w:before="2848" w:after="0"/>
              <w:ind w:left="170" w:right="144" w:firstLine="0"/>
              <w:jc w:val="left"/>
            </w:pPr>
            <w:r>
              <w:rPr>
                <w:rFonts w:ascii="AkzidenzGroteskBE" w:hAnsi="AkzidenzGroteskBE" w:eastAsia="AkzidenzGroteskBE"/>
                <w:b w:val="0"/>
                <w:i w:val="0"/>
                <w:color w:val="000000"/>
                <w:sz w:val="18"/>
              </w:rPr>
              <w:t xml:space="preserve">“We no longer have to replicate IBM from floor to ceiling in every country. We are optimizing key operations in </w:t>
            </w:r>
            <w:r>
              <w:rPr>
                <w:rFonts w:ascii="AkzidenzGroteskBE" w:hAnsi="AkzidenzGroteskBE" w:eastAsia="AkzidenzGroteskBE"/>
                <w:b w:val="0"/>
                <w:i w:val="0"/>
                <w:color w:val="000000"/>
                <w:sz w:val="18"/>
              </w:rPr>
              <w:t xml:space="preserve">the right places in the world—eliminating redundancies and excess overhead–and integrating those operations </w:t>
            </w:r>
          </w:p>
          <w:p>
            <w:pPr>
              <w:autoSpaceDN w:val="0"/>
              <w:autoSpaceDE w:val="0"/>
              <w:widowControl/>
              <w:spacing w:line="216" w:lineRule="exact" w:before="40" w:after="0"/>
              <w:ind w:left="244" w:right="0" w:firstLine="0"/>
              <w:jc w:val="left"/>
            </w:pPr>
            <w:r>
              <w:rPr>
                <w:rFonts w:ascii="AkzidenzGroteskBE" w:hAnsi="AkzidenzGroteskBE" w:eastAsia="AkzidenzGroteskBE"/>
                <w:b w:val="0"/>
                <w:i w:val="0"/>
                <w:color w:val="000000"/>
                <w:sz w:val="18"/>
              </w:rPr>
              <w:t xml:space="preserve">horizontally and globally […] This is about doing the right tasks, with the right skills, in the right places.” </w:t>
            </w:r>
          </w:p>
          <w:p>
            <w:pPr>
              <w:autoSpaceDN w:val="0"/>
              <w:autoSpaceDE w:val="0"/>
              <w:widowControl/>
              <w:spacing w:line="216" w:lineRule="exact" w:before="120" w:after="0"/>
              <w:ind w:left="244" w:right="0" w:firstLine="0"/>
              <w:jc w:val="left"/>
            </w:pPr>
            <w:r>
              <w:rPr>
                <w:rFonts w:ascii="AkzidenzGroteskBE" w:hAnsi="AkzidenzGroteskBE" w:eastAsia="AkzidenzGroteskBE"/>
                <w:b w:val="0"/>
                <w:i/>
                <w:color w:val="000000"/>
                <w:sz w:val="18"/>
              </w:rPr>
              <w:t>Sam Palmisano, May 20, 2005, Analyst Meeting</w:t>
            </w:r>
          </w:p>
        </w:tc>
      </w:tr>
    </w:tbl>
    <w:p>
      <w:pPr>
        <w:autoSpaceDN w:val="0"/>
        <w:autoSpaceDE w:val="0"/>
        <w:widowControl/>
        <w:spacing w:line="242" w:lineRule="exact" w:before="196" w:after="0"/>
        <w:ind w:left="360" w:right="0" w:firstLine="0"/>
        <w:jc w:val="left"/>
      </w:pPr>
      <w:r>
        <w:rPr>
          <w:rFonts w:ascii="AkzidenzGroteskBE" w:hAnsi="AkzidenzGroteskBE" w:eastAsia="AkzidenzGroteskBE"/>
          <w:b w:val="0"/>
          <w:i w:val="0"/>
          <w:color w:val="00B5CC"/>
          <w:sz w:val="20"/>
        </w:rPr>
        <w:t>Human Capital and the GIE</w:t>
      </w:r>
    </w:p>
    <w:p>
      <w:pPr>
        <w:autoSpaceDN w:val="0"/>
        <w:autoSpaceDE w:val="0"/>
        <w:widowControl/>
        <w:spacing w:line="260" w:lineRule="exact" w:before="72" w:after="0"/>
        <w:ind w:left="360" w:right="2736" w:firstLine="0"/>
        <w:jc w:val="left"/>
      </w:pP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Of course, talent and human capital were becoming increasingly vital to competitive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success in all organizations, but they offered an even greater strategic pivot-point for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IBM. IBM competed mostly on its ability to deliver unique know-how and practical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solutions to clients, rather than a particular hardware or software product. The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knowledge, motivation, skill and deployment of IBM’s workforce was even more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vital than for many of its competitors. In 2003, IBM had approximately 350,000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employees. IBM employees were highly qualified and motivated, but the existing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workforce could simply not provide the global flexibility that would be needed to </w:t>
      </w:r>
      <w:r>
        <w:rPr>
          <w:rFonts w:ascii="Galliard" w:hAnsi="Galliard" w:eastAsia="Galliard"/>
          <w:b w:val="0"/>
          <w:i w:val="0"/>
          <w:color w:val="000000"/>
          <w:sz w:val="19"/>
        </w:rPr>
        <w:t>serve the needs of IBM’s evolving clients.</w:t>
      </w:r>
    </w:p>
    <w:p>
      <w:pPr>
        <w:autoSpaceDN w:val="0"/>
        <w:autoSpaceDE w:val="0"/>
        <w:widowControl/>
        <w:spacing w:line="260" w:lineRule="exact" w:before="144" w:after="0"/>
        <w:ind w:left="360" w:right="2736" w:firstLine="0"/>
        <w:jc w:val="left"/>
      </w:pP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The customer was saying, “know my business and provide value propositions that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are unique to me.” Yet, IBM’s workforce systems and decisions tended to be focused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on accurately projecting demand and creating sufficient supply of talent against a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multinational model that often operated separately within countries or regions. IBM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sales and service experts were highly skilled in IBM products and solutions, but it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was their unique knowledge about the client’s industry and global implications that </w:t>
      </w:r>
      <w:r>
        <w:rPr>
          <w:rFonts w:ascii="Galliard" w:hAnsi="Galliard" w:eastAsia="Galliard"/>
          <w:b w:val="0"/>
          <w:i w:val="0"/>
          <w:color w:val="000000"/>
          <w:sz w:val="19"/>
        </w:rPr>
        <w:t>increasingly would become key differentiators.</w:t>
      </w:r>
    </w:p>
    <w:p>
      <w:pPr>
        <w:autoSpaceDN w:val="0"/>
        <w:autoSpaceDE w:val="0"/>
        <w:widowControl/>
        <w:spacing w:line="182" w:lineRule="exact" w:before="708" w:after="0"/>
        <w:ind w:left="112" w:right="0" w:firstLine="0"/>
        <w:jc w:val="left"/>
      </w:pPr>
      <w:r>
        <w:rPr>
          <w:rFonts w:ascii="Futura" w:hAnsi="Futura" w:eastAsia="Futura"/>
          <w:b w:val="0"/>
          <w:i w:val="0"/>
          <w:color w:val="000000"/>
          <w:sz w:val="14"/>
        </w:rPr>
        <w:t>2</w:t>
      </w:r>
      <w:r>
        <w:rPr>
          <w:rFonts w:ascii="Futura" w:hAnsi="Futura" w:eastAsia="Futura"/>
          <w:b w:val="0"/>
          <w:i w:val="0"/>
          <w:color w:val="00B5CC"/>
          <w:sz w:val="14"/>
        </w:rPr>
        <w:t xml:space="preserve">© 2010 Society for Human Resource Management. John W. Boudreau, Ph.D. </w:t>
      </w:r>
    </w:p>
    <w:p>
      <w:pPr>
        <w:sectPr>
          <w:pgSz w:w="12240" w:h="15840"/>
          <w:pgMar w:top="1264" w:right="1440" w:bottom="0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6"/>
        <w:ind w:left="0" w:right="0"/>
      </w:pPr>
    </w:p>
    <w:p>
      <w:pPr>
        <w:autoSpaceDN w:val="0"/>
        <w:autoSpaceDE w:val="0"/>
        <w:widowControl/>
        <w:spacing w:line="254" w:lineRule="exact" w:before="0" w:after="218"/>
        <w:ind w:left="4" w:right="3456" w:firstLine="0"/>
        <w:jc w:val="left"/>
      </w:pP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The key would be to make the most effective tradeoffs between terms and conditions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of employment across regions and be able to move talent quickly between them,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whether physically or virtually. IBM needed to be able to quickly and accurately find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the capabilities of its workforce, wherever those capabilities exist, and deploy them </w:t>
      </w:r>
      <w:r>
        <w:rPr>
          <w:rFonts w:ascii="Galliard" w:hAnsi="Galliard" w:eastAsia="Galliard"/>
          <w:b w:val="0"/>
          <w:i w:val="0"/>
          <w:color w:val="000000"/>
          <w:sz w:val="19"/>
        </w:rPr>
        <w:t>against clients’ problems faster and at a lower cost point than the competition.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0464"/>
      </w:tblGrid>
      <w:tr>
        <w:trPr>
          <w:trHeight w:hRule="exact" w:val="6120"/>
        </w:trPr>
        <w:tc>
          <w:tcPr>
            <w:tcW w:type="dxa" w:w="6928"/>
            <w:tcBorders>
              <w:start w:sz="8.0" w:val="single" w:color="#00B5CC"/>
              <w:top w:sz="8.0" w:val="single" w:color="#00B5CC"/>
              <w:end w:sz="8.0" w:val="single" w:color="#00B5CC"/>
              <w:bottom w:sz="8.0" w:val="single" w:color="#00B5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80" w:after="0"/>
              <w:ind w:left="174" w:right="144" w:firstLine="0"/>
              <w:jc w:val="left"/>
            </w:pPr>
            <w:r>
              <w:rPr>
                <w:rFonts w:ascii="AkzidenzGroteskBE" w:hAnsi="AkzidenzGroteskBE" w:eastAsia="AkzidenzGroteskBE"/>
                <w:b/>
                <w:i w:val="0"/>
                <w:color w:val="00B5CC"/>
                <w:sz w:val="20"/>
              </w:rPr>
              <w:t xml:space="preserve">In a 2007 paper published by the IBM Institute for Business Value, </w:t>
            </w:r>
            <w:r>
              <w:rPr>
                <w:rFonts w:ascii="AkzidenzGroteskBE" w:hAnsi="AkzidenzGroteskBE" w:eastAsia="AkzidenzGroteskBE"/>
                <w:b/>
                <w:i w:val="0"/>
                <w:color w:val="00B5CC"/>
                <w:sz w:val="20"/>
              </w:rPr>
              <w:t xml:space="preserve">the authors Eric Lesser, Tim Ringo and Andrea Blumberg cite seven </w:t>
            </w:r>
            <w:r>
              <w:rPr>
                <w:rFonts w:ascii="AkzidenzGroteskBE" w:hAnsi="AkzidenzGroteskBE" w:eastAsia="AkzidenzGroteskBE"/>
                <w:b/>
                <w:i w:val="0"/>
                <w:color w:val="00B5CC"/>
                <w:sz w:val="20"/>
              </w:rPr>
              <w:t>keys to succeed in a globally integrated world of business.</w:t>
            </w:r>
            <w:r>
              <w:rPr>
                <w:w w:val="97.16666539510092"/>
                <w:rFonts w:ascii="AkzidenzGroteskBE" w:hAnsi="AkzidenzGroteskBE" w:eastAsia="AkzidenzGroteskBE"/>
                <w:b/>
                <w:i w:val="0"/>
                <w:color w:val="00B5CC"/>
                <w:sz w:val="12"/>
              </w:rPr>
              <w:t>4</w:t>
            </w:r>
            <w:r>
              <w:rPr>
                <w:rFonts w:ascii="AkzidenzGroteskBE" w:hAnsi="AkzidenzGroteskBE" w:eastAsia="AkzidenzGroteskBE"/>
                <w:b/>
                <w:i w:val="0"/>
                <w:color w:val="00B5CC"/>
                <w:sz w:val="20"/>
              </w:rPr>
              <w:t xml:space="preserve"> They </w:t>
            </w:r>
            <w:r>
              <w:rPr>
                <w:rFonts w:ascii="AkzidenzGroteskBE" w:hAnsi="AkzidenzGroteskBE" w:eastAsia="AkzidenzGroteskBE"/>
                <w:b/>
                <w:i w:val="0"/>
                <w:color w:val="00B5CC"/>
                <w:sz w:val="20"/>
              </w:rPr>
              <w:t xml:space="preserve">are: </w:t>
            </w:r>
            <w:r>
              <w:br/>
            </w:r>
            <w:r>
              <w:rPr>
                <w:rFonts w:ascii="Futura" w:hAnsi="Futura" w:eastAsia="Futura"/>
                <w:b w:val="0"/>
                <w:i w:val="0"/>
                <w:color w:val="000000"/>
                <w:sz w:val="19"/>
              </w:rPr>
              <w:t>1. Understanding the demographics and capabilities of the workforce.</w:t>
            </w:r>
          </w:p>
          <w:p>
            <w:pPr>
              <w:autoSpaceDN w:val="0"/>
              <w:autoSpaceDE w:val="0"/>
              <w:widowControl/>
              <w:spacing w:line="242" w:lineRule="exact" w:before="218" w:after="0"/>
              <w:ind w:left="174" w:right="0" w:firstLine="0"/>
              <w:jc w:val="left"/>
            </w:pPr>
            <w:r>
              <w:rPr>
                <w:rFonts w:ascii="Futura" w:hAnsi="Futura" w:eastAsia="Futura"/>
                <w:b w:val="0"/>
                <w:i w:val="0"/>
                <w:color w:val="000000"/>
                <w:sz w:val="19"/>
              </w:rPr>
              <w:t>2. Predicting future labor supply and demand.</w:t>
            </w:r>
          </w:p>
          <w:p>
            <w:pPr>
              <w:autoSpaceDN w:val="0"/>
              <w:tabs>
                <w:tab w:pos="394" w:val="left"/>
              </w:tabs>
              <w:autoSpaceDE w:val="0"/>
              <w:widowControl/>
              <w:spacing w:line="280" w:lineRule="exact" w:before="180" w:after="0"/>
              <w:ind w:left="174" w:right="576" w:firstLine="0"/>
              <w:jc w:val="left"/>
            </w:pPr>
            <w:r>
              <w:rPr>
                <w:rFonts w:ascii="Futura" w:hAnsi="Futura" w:eastAsia="Futura"/>
                <w:b w:val="0"/>
                <w:i w:val="0"/>
                <w:color w:val="000000"/>
                <w:sz w:val="19"/>
              </w:rPr>
              <w:t xml:space="preserve">3. Utilizing social networks to increase visibility and application of knowledge </w:t>
            </w:r>
            <w:r>
              <w:tab/>
            </w:r>
            <w:r>
              <w:rPr>
                <w:rFonts w:ascii="Futura" w:hAnsi="Futura" w:eastAsia="Futura"/>
                <w:b w:val="0"/>
                <w:i w:val="0"/>
                <w:color w:val="000000"/>
                <w:sz w:val="19"/>
              </w:rPr>
              <w:t>across the organization.</w:t>
            </w:r>
          </w:p>
          <w:p>
            <w:pPr>
              <w:autoSpaceDN w:val="0"/>
              <w:autoSpaceDE w:val="0"/>
              <w:widowControl/>
              <w:spacing w:line="242" w:lineRule="exact" w:before="218" w:after="0"/>
              <w:ind w:left="174" w:right="0" w:firstLine="0"/>
              <w:jc w:val="left"/>
            </w:pPr>
            <w:r>
              <w:rPr>
                <w:rFonts w:ascii="Futura" w:hAnsi="Futura" w:eastAsia="Futura"/>
                <w:b w:val="0"/>
                <w:i w:val="0"/>
                <w:color w:val="000000"/>
                <w:sz w:val="19"/>
              </w:rPr>
              <w:t>4. Enabling individuals to perform work regardless of location.</w:t>
            </w:r>
          </w:p>
          <w:p>
            <w:pPr>
              <w:autoSpaceDN w:val="0"/>
              <w:autoSpaceDE w:val="0"/>
              <w:widowControl/>
              <w:spacing w:line="242" w:lineRule="exact" w:before="218" w:after="0"/>
              <w:ind w:left="174" w:right="0" w:firstLine="0"/>
              <w:jc w:val="left"/>
            </w:pPr>
            <w:r>
              <w:rPr>
                <w:rFonts w:ascii="Futura" w:hAnsi="Futura" w:eastAsia="Futura"/>
                <w:b w:val="0"/>
                <w:i w:val="0"/>
                <w:color w:val="000000"/>
                <w:sz w:val="19"/>
              </w:rPr>
              <w:t>5. Facilitating collaboration across traditional organizational boundaries.</w:t>
            </w:r>
          </w:p>
          <w:p>
            <w:pPr>
              <w:autoSpaceDN w:val="0"/>
              <w:tabs>
                <w:tab w:pos="394" w:val="left"/>
              </w:tabs>
              <w:autoSpaceDE w:val="0"/>
              <w:widowControl/>
              <w:spacing w:line="280" w:lineRule="exact" w:before="180" w:after="0"/>
              <w:ind w:left="174" w:right="720" w:firstLine="0"/>
              <w:jc w:val="left"/>
            </w:pPr>
            <w:r>
              <w:rPr>
                <w:rFonts w:ascii="Futura" w:hAnsi="Futura" w:eastAsia="Futura"/>
                <w:b w:val="0"/>
                <w:i w:val="0"/>
                <w:color w:val="000000"/>
                <w:sz w:val="19"/>
              </w:rPr>
              <w:t xml:space="preserve">6. Driving the rapid development of skills and capabilities to meet changing </w:t>
            </w:r>
            <w:r>
              <w:tab/>
            </w:r>
            <w:r>
              <w:rPr>
                <w:rFonts w:ascii="Futura" w:hAnsi="Futura" w:eastAsia="Futura"/>
                <w:b w:val="0"/>
                <w:i w:val="0"/>
                <w:color w:val="000000"/>
                <w:sz w:val="19"/>
              </w:rPr>
              <w:t>business conditions.</w:t>
            </w:r>
          </w:p>
          <w:p>
            <w:pPr>
              <w:autoSpaceDN w:val="0"/>
              <w:autoSpaceDE w:val="0"/>
              <w:widowControl/>
              <w:spacing w:line="240" w:lineRule="exact" w:before="220" w:after="0"/>
              <w:ind w:left="174" w:right="0" w:firstLine="0"/>
              <w:jc w:val="left"/>
            </w:pPr>
            <w:r>
              <w:rPr>
                <w:rFonts w:ascii="Futura" w:hAnsi="Futura" w:eastAsia="Futura"/>
                <w:b w:val="0"/>
                <w:i w:val="0"/>
                <w:color w:val="000000"/>
                <w:sz w:val="19"/>
              </w:rPr>
              <w:t>7. Evaluating employee performance and providing appropriate feedback.</w:t>
            </w:r>
          </w:p>
          <w:p>
            <w:pPr>
              <w:autoSpaceDN w:val="0"/>
              <w:autoSpaceDE w:val="0"/>
              <w:widowControl/>
              <w:spacing w:line="280" w:lineRule="exact" w:before="180" w:after="0"/>
              <w:ind w:left="174" w:right="144" w:firstLine="0"/>
              <w:jc w:val="left"/>
            </w:pPr>
            <w:r>
              <w:rPr>
                <w:rFonts w:ascii="Futura" w:hAnsi="Futura" w:eastAsia="Futura"/>
                <w:b w:val="0"/>
                <w:i w:val="0"/>
                <w:color w:val="000000"/>
                <w:sz w:val="19"/>
              </w:rPr>
              <w:t xml:space="preserve">Key for any globally integrated organization is the critical capability to move human </w:t>
            </w:r>
            <w:r>
              <w:rPr>
                <w:rFonts w:ascii="Futura" w:hAnsi="Futura" w:eastAsia="Futura"/>
                <w:b w:val="0"/>
                <w:i w:val="0"/>
                <w:color w:val="000000"/>
                <w:sz w:val="19"/>
              </w:rPr>
              <w:t xml:space="preserve">capital skill and expertise to business opportunity—to put it more simply: to get the </w:t>
            </w:r>
            <w:r>
              <w:rPr>
                <w:rFonts w:ascii="Futura" w:hAnsi="Futura" w:eastAsia="Futura"/>
                <w:b w:val="0"/>
                <w:i w:val="0"/>
                <w:color w:val="000000"/>
                <w:sz w:val="19"/>
              </w:rPr>
              <w:t>right person, with the right skills, at the right time, place and cost.</w:t>
            </w:r>
          </w:p>
        </w:tc>
      </w:tr>
    </w:tbl>
    <w:p>
      <w:pPr>
        <w:autoSpaceDN w:val="0"/>
        <w:autoSpaceDE w:val="0"/>
        <w:widowControl/>
        <w:spacing w:line="260" w:lineRule="exact" w:before="236" w:after="0"/>
        <w:ind w:left="4" w:right="3456" w:firstLine="0"/>
        <w:jc w:val="left"/>
      </w:pP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Randy and his colleagues realized that this would mean a significant change in how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IBM defined its workforce, the information systems that employees and leaders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used to understand and make decisions about workforce capability, and the way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the capabilities of IBM’s employees, teams and units connected to client needs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and IBM strategy. Some consulting firms had begun to implement systems that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used the language of competencies, capabilities or skills to depict the “inventory”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of workforce capability and then matched that inventory to the pattern of their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clients’ needs. Such organizations generally had fewer than 100,000 employees,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with fairly focused professional service domains. IBM was considerably larger,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operated in multiple product and service sectors and would increasingly need to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tap human resources throughout the world. In addition, a realistic idea about the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true availability of capabilities would potentially require integrating information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on hundreds of thousands of IBM job applicants in many countries and more than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90,000 contractors. The scale of the task was many magnitudes greater than what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had been attempted by others. The investment in IT systems would likely be upward </w:t>
      </w:r>
    </w:p>
    <w:p>
      <w:pPr>
        <w:autoSpaceDN w:val="0"/>
        <w:autoSpaceDE w:val="0"/>
        <w:widowControl/>
        <w:spacing w:line="182" w:lineRule="exact" w:before="796" w:after="0"/>
        <w:ind w:left="0" w:right="122" w:firstLine="0"/>
        <w:jc w:val="right"/>
      </w:pPr>
      <w:r>
        <w:rPr>
          <w:rFonts w:ascii="Futura" w:hAnsi="Futura" w:eastAsia="Futura"/>
          <w:b w:val="0"/>
          <w:i w:val="0"/>
          <w:color w:val="00B5CC"/>
          <w:sz w:val="14"/>
        </w:rPr>
        <w:t xml:space="preserve">© 2010 Society for Human Resource Management. John W. Boudreau, Ph.D.  </w:t>
      </w:r>
      <w:r>
        <w:rPr>
          <w:rFonts w:ascii="Futura" w:hAnsi="Futura" w:eastAsia="Futura"/>
          <w:b w:val="0"/>
          <w:i w:val="0"/>
          <w:color w:val="000000"/>
          <w:sz w:val="14"/>
        </w:rPr>
        <w:t>3</w:t>
      </w:r>
    </w:p>
    <w:p>
      <w:pPr>
        <w:sectPr>
          <w:pgSz w:w="12240" w:h="15840"/>
          <w:pgMar w:top="1264" w:right="700" w:bottom="0" w:left="107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6"/>
        <w:ind w:left="0" w:right="0"/>
      </w:pPr>
    </w:p>
    <w:p>
      <w:pPr>
        <w:autoSpaceDN w:val="0"/>
        <w:autoSpaceDE w:val="0"/>
        <w:widowControl/>
        <w:spacing w:line="250" w:lineRule="exact" w:before="0" w:after="0"/>
        <w:ind w:left="360" w:right="3024" w:firstLine="0"/>
        <w:jc w:val="left"/>
      </w:pP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of US$100 million, and the ongoing investment of IBM’s business leaders, HR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organization and employees to maintain and use the system would likely be even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greater. </w:t>
      </w:r>
    </w:p>
    <w:p>
      <w:pPr>
        <w:autoSpaceDN w:val="0"/>
        <w:autoSpaceDE w:val="0"/>
        <w:widowControl/>
        <w:spacing w:line="260" w:lineRule="exact" w:before="144" w:after="0"/>
        <w:ind w:left="360" w:right="2736" w:firstLine="0"/>
        <w:jc w:val="left"/>
      </w:pP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Other large organizations had focused their talent management systems on a subset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of capabilities, such as leadership competencies, or on subsets of the workforce, such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as high-potentials or certain particularly critical job groups. Yet, even in the most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advanced organizations, the vast majority of workers were not part of development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programs aimed at leaders or a few vital jobs. Indeed, one initiative that GE’s new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CEO, Jeff Immelt, had pioneered was to focus the power of Crotonville on what </w:t>
      </w:r>
      <w:r>
        <w:rPr>
          <w:rFonts w:ascii="Galliard" w:hAnsi="Galliard" w:eastAsia="Galliard"/>
          <w:b w:val="0"/>
          <w:i w:val="0"/>
          <w:color w:val="000000"/>
          <w:sz w:val="19"/>
        </w:rPr>
        <w:t>was regarded as emerging vital disciplines such as marketing and innovation.</w:t>
      </w:r>
      <w:r>
        <w:rPr>
          <w:rFonts w:ascii="Galliard" w:hAnsi="Galliard" w:eastAsia="Galliard"/>
          <w:b w:val="0"/>
          <w:i w:val="0"/>
          <w:color w:val="000000"/>
          <w:sz w:val="11"/>
        </w:rPr>
        <w:t>5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 IBM </w:t>
      </w:r>
      <w:r>
        <w:rPr>
          <w:rFonts w:ascii="Galliard" w:hAnsi="Galliard" w:eastAsia="Galliard"/>
          <w:b w:val="0"/>
          <w:i w:val="0"/>
          <w:color w:val="000000"/>
          <w:sz w:val="19"/>
        </w:rPr>
        <w:t>seemed to need something that went well beyond even current cutting-edge efforts.</w:t>
      </w:r>
    </w:p>
    <w:p>
      <w:pPr>
        <w:autoSpaceDN w:val="0"/>
        <w:autoSpaceDE w:val="0"/>
        <w:widowControl/>
        <w:spacing w:line="244" w:lineRule="exact" w:before="378" w:after="0"/>
        <w:ind w:left="360" w:right="0" w:firstLine="0"/>
        <w:jc w:val="left"/>
      </w:pPr>
      <w:r>
        <w:rPr>
          <w:rFonts w:ascii="AkzidenzGroteskBE" w:hAnsi="AkzidenzGroteskBE" w:eastAsia="AkzidenzGroteskBE"/>
          <w:b w:val="0"/>
          <w:i w:val="0"/>
          <w:color w:val="00B5CC"/>
          <w:sz w:val="20"/>
        </w:rPr>
        <w:t>History of IBM</w:t>
      </w:r>
      <w:r>
        <w:rPr>
          <w:w w:val="97.16666539510092"/>
          <w:rFonts w:ascii="AkzidenzGroteskBE" w:hAnsi="AkzidenzGroteskBE" w:eastAsia="AkzidenzGroteskBE"/>
          <w:b w:val="0"/>
          <w:i w:val="0"/>
          <w:color w:val="00B5CC"/>
          <w:sz w:val="12"/>
        </w:rPr>
        <w:t>6</w:t>
      </w:r>
    </w:p>
    <w:p>
      <w:pPr>
        <w:autoSpaceDN w:val="0"/>
        <w:autoSpaceDE w:val="0"/>
        <w:widowControl/>
        <w:spacing w:line="260" w:lineRule="exact" w:before="70" w:after="0"/>
        <w:ind w:left="360" w:right="2736" w:firstLine="0"/>
        <w:jc w:val="left"/>
      </w:pP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IBM was founded in 1911. Thomas J. Watson joined the company in 1914, and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as CEO, he instituted many of the policies for which the company would become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famous, including salespeople wearing suits, corporate pride and loyalty, implied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lifetime employment and strong values and beliefs, such as the slogan “THINK” to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embody a strong and intelligent work ethic. After 40 years of growth and success, </w:t>
      </w:r>
      <w:r>
        <w:rPr>
          <w:rFonts w:ascii="Galliard" w:hAnsi="Galliard" w:eastAsia="Galliard"/>
          <w:b w:val="0"/>
          <w:i w:val="0"/>
          <w:color w:val="000000"/>
          <w:sz w:val="19"/>
        </w:rPr>
        <w:t>Watson Sr. turned the company over to his son, Thomas Watson, Jr. in 1952.</w:t>
      </w:r>
    </w:p>
    <w:p>
      <w:pPr>
        <w:autoSpaceDN w:val="0"/>
        <w:autoSpaceDE w:val="0"/>
        <w:widowControl/>
        <w:spacing w:line="260" w:lineRule="exact" w:before="144" w:after="0"/>
        <w:ind w:left="360" w:right="2880" w:firstLine="0"/>
        <w:jc w:val="left"/>
      </w:pP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The next era was to see IBM become dominant in one of the most notable growth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industries of the century. For example, IBM developed the 360 computer, an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innovation at its time because it was based on semiconductor chips and had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interchangeable components. It was a significant and revolutionary departure from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vacuum tubes that had been used before and rapidly became the dominant design. </w:t>
      </w:r>
    </w:p>
    <w:p>
      <w:pPr>
        <w:autoSpaceDN w:val="0"/>
        <w:autoSpaceDE w:val="0"/>
        <w:widowControl/>
        <w:spacing w:line="260" w:lineRule="exact" w:before="0" w:after="0"/>
        <w:ind w:left="360" w:right="2880" w:firstLine="0"/>
        <w:jc w:val="left"/>
      </w:pP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In addition, IBM innovated in areas such as computer languages (FORTRAN),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disk storage and point-of-service machines for banks and supermarkets. Indeed,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IBM became so dominant in the industry by the 1960s that the company became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the target of a 13-year antitrust action by the U.S. Justice Department, which was </w:t>
      </w:r>
      <w:r>
        <w:rPr>
          <w:rFonts w:ascii="Galliard" w:hAnsi="Galliard" w:eastAsia="Galliard"/>
          <w:b w:val="0"/>
          <w:i w:val="0"/>
          <w:color w:val="000000"/>
          <w:sz w:val="19"/>
        </w:rPr>
        <w:t>unsuccessful.</w:t>
      </w:r>
    </w:p>
    <w:p>
      <w:pPr>
        <w:autoSpaceDN w:val="0"/>
        <w:autoSpaceDE w:val="0"/>
        <w:widowControl/>
        <w:spacing w:line="260" w:lineRule="exact" w:before="142" w:after="0"/>
        <w:ind w:left="360" w:right="2592" w:firstLine="0"/>
        <w:jc w:val="left"/>
      </w:pP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In the 1980s, IBM successfully introduced the IBM PC, which was an immediate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sales hit, exceeding all forecasts. By the mid-1980s, IBM was firmly established as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a solid and safe source of business computing solutions. Yet, even as the computer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industry was changing with the advent of the PC, IBM’s main business was still built </w:t>
      </w:r>
      <w:r>
        <w:rPr>
          <w:rFonts w:ascii="Galliard" w:hAnsi="Galliard" w:eastAsia="Galliard"/>
          <w:b w:val="0"/>
          <w:i w:val="0"/>
          <w:color w:val="000000"/>
          <w:sz w:val="19"/>
        </w:rPr>
        <w:t>around the mainframe computer.</w:t>
      </w:r>
    </w:p>
    <w:p>
      <w:pPr>
        <w:autoSpaceDN w:val="0"/>
        <w:autoSpaceDE w:val="0"/>
        <w:widowControl/>
        <w:spacing w:line="260" w:lineRule="exact" w:before="144" w:after="0"/>
        <w:ind w:left="360" w:right="2880" w:firstLine="0"/>
        <w:jc w:val="left"/>
      </w:pP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That changed in the 1990s. In 1990, IBM was the second most-profitable global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company, posting a net income of US$6 billion. This promising position in a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growing industry changed quickly. In 1991, the company posted earnings of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negative US$2.8 billion, an unthinkable occurrence in a company known for many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decades as a source of solid growth and reliable financial performance. Now, IBM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was derided by critics as being behind the times, out of touch with its customers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and internally focused. Many felt that IBM failed to recognize the move toward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client-server computing, the growing importance of the network and the need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to interconnect computing elements such as mainframes, midrange and personal </w:t>
      </w:r>
    </w:p>
    <w:p>
      <w:pPr>
        <w:autoSpaceDN w:val="0"/>
        <w:autoSpaceDE w:val="0"/>
        <w:widowControl/>
        <w:spacing w:line="182" w:lineRule="exact" w:before="662" w:after="0"/>
        <w:ind w:left="112" w:right="0" w:firstLine="0"/>
        <w:jc w:val="left"/>
      </w:pPr>
      <w:r>
        <w:rPr>
          <w:rFonts w:ascii="Futura" w:hAnsi="Futura" w:eastAsia="Futura"/>
          <w:b w:val="0"/>
          <w:i w:val="0"/>
          <w:color w:val="000000"/>
          <w:sz w:val="14"/>
        </w:rPr>
        <w:t>4</w:t>
      </w:r>
      <w:r>
        <w:rPr>
          <w:rFonts w:ascii="Futura" w:hAnsi="Futura" w:eastAsia="Futura"/>
          <w:b w:val="0"/>
          <w:i w:val="0"/>
          <w:color w:val="00B5CC"/>
          <w:sz w:val="14"/>
        </w:rPr>
        <w:t xml:space="preserve">© 2010 Society for Human Resource Management. John W. Boudreau, Ph.D. </w:t>
      </w:r>
    </w:p>
    <w:p>
      <w:pPr>
        <w:sectPr>
          <w:pgSz w:w="12240" w:h="15840"/>
          <w:pgMar w:top="1264" w:right="1440" w:bottom="0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6"/>
        <w:ind w:left="0" w:right="0"/>
      </w:pPr>
    </w:p>
    <w:p>
      <w:pPr>
        <w:autoSpaceDN w:val="0"/>
        <w:autoSpaceDE w:val="0"/>
        <w:widowControl/>
        <w:spacing w:line="258" w:lineRule="exact" w:before="0" w:after="0"/>
        <w:ind w:left="0" w:right="3456" w:firstLine="0"/>
        <w:jc w:val="left"/>
      </w:pP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computers. The sale of mainframes declined with these new developments. More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nimble competitors, such as Dell and Compaq, seemed to be the ones with </w:t>
      </w:r>
      <w:r>
        <w:br/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innovative approaches to products, pricing and the supply chain, not IBM. IBM’s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vast network of business units and tens of thousands of hardware and software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products became symbols of a bloated and overly complicated organization that had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too many layers, too many necessary approvals to make key decisions and an internal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data processing organization that was more costly than industry norms. This was a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sad commentary for a company whose value proposition was to help others become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efficient and focused in their own data systems. Perhaps the most telling symbol of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the negative change was IBM’s announcement of first-ever forced employee layoffs in </w:t>
      </w:r>
      <w:r>
        <w:rPr>
          <w:rFonts w:ascii="Galliard" w:hAnsi="Galliard" w:eastAsia="Galliard"/>
          <w:b w:val="0"/>
          <w:i w:val="0"/>
          <w:color w:val="000000"/>
          <w:sz w:val="19"/>
        </w:rPr>
        <w:t>1991 and continuing layoffs in 1992 and 1993.</w:t>
      </w:r>
    </w:p>
    <w:p>
      <w:pPr>
        <w:autoSpaceDN w:val="0"/>
        <w:autoSpaceDE w:val="0"/>
        <w:widowControl/>
        <w:spacing w:line="260" w:lineRule="exact" w:before="144" w:after="0"/>
        <w:ind w:left="0" w:right="3456" w:firstLine="0"/>
        <w:jc w:val="left"/>
      </w:pP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Lou Gerstner joined IBM as CEO in 1993, with many analysts and others expecting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that this computing industry outsider would break up the company and sell off the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pieces. However, Gerstner soon asserted that this was not the plan and that the value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of IBM rested in its synergies, not in the separate value of the different businesses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and units. A period of relentless cost-cutting and the growing chorus from </w:t>
      </w:r>
      <w:r>
        <w:br/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customers that IBM needed to create solutions, not products, ensued. Units such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as the PC division were streamlined around fewer products and more focused and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effective marketing and product lines. The IT organization cut costs dramatically,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reducing the number of CIOs from 128 in 1993 to only one in 1997. By 1994, IBM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was again posting solid financial results, with profits of US$5 billion on revenues of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US$64 billion. IBM was profiting from the growing Internet and business spending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to prepare for the year 2000 and beyond. </w:t>
      </w:r>
    </w:p>
    <w:p>
      <w:pPr>
        <w:autoSpaceDN w:val="0"/>
        <w:autoSpaceDE w:val="0"/>
        <w:widowControl/>
        <w:spacing w:line="260" w:lineRule="exact" w:before="144" w:after="0"/>
        <w:ind w:left="0" w:right="3456" w:firstLine="0"/>
        <w:jc w:val="left"/>
      </w:pP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In 1995, Gerstner announced that “e-business” would be at the heart of IBM’s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growth strategy, specifically asserting that business-to-business e-commerce would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be a core element of how all companies did business. At the time, this was a radical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idea, but Gerstner invested heavily in acquisitions designed to position IBM to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deliver value across the entire chain of e-commerce connections, including Lotus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Development Corporation and Tivoli Systems. Moreover, IBM embraced the role of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a connection point, welcoming partnerships with those who were best at particular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hardware, software and other elements and adding value as the integrator and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solutions provider. Between 1995 and 2000, the service businesses in IBM became </w:t>
      </w:r>
      <w:r>
        <w:rPr>
          <w:rFonts w:ascii="Galliard" w:hAnsi="Galliard" w:eastAsia="Galliard"/>
          <w:b w:val="0"/>
          <w:i w:val="0"/>
          <w:color w:val="000000"/>
          <w:sz w:val="19"/>
        </w:rPr>
        <w:t>the dominant revenue producers and growth engines.</w:t>
      </w:r>
    </w:p>
    <w:p>
      <w:pPr>
        <w:autoSpaceDN w:val="0"/>
        <w:autoSpaceDE w:val="0"/>
        <w:widowControl/>
        <w:spacing w:line="260" w:lineRule="exact" w:before="144" w:after="0"/>
        <w:ind w:left="0" w:right="3456" w:firstLine="0"/>
        <w:jc w:val="left"/>
      </w:pP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Sam Palmisano had run IBM’s integrated global services group from 1996 to 1999.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In 2000, Gerstner began the transition toward Palmisano’s leadership of IBM by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making him president and COO just as the industry went into free-fall with the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dot-com bubble burst. In March 2002, Palmisano, a 31-year veteran of IBM, took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the reins as CEO. By 2003, IBM was on solid footing and had acquired PWC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Consulting from the Price Waterhouse Coopers organization to further support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its ability to become “One IBM” worldwide and the global innovator in services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that were integrated, available on demand, locally innovative and yet globally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synergistic. </w:t>
      </w:r>
    </w:p>
    <w:p>
      <w:pPr>
        <w:autoSpaceDN w:val="0"/>
        <w:autoSpaceDE w:val="0"/>
        <w:widowControl/>
        <w:spacing w:line="182" w:lineRule="exact" w:before="1238" w:after="0"/>
        <w:ind w:left="0" w:right="122" w:firstLine="0"/>
        <w:jc w:val="right"/>
      </w:pPr>
      <w:r>
        <w:rPr>
          <w:rFonts w:ascii="Futura" w:hAnsi="Futura" w:eastAsia="Futura"/>
          <w:b w:val="0"/>
          <w:i w:val="0"/>
          <w:color w:val="00B5CC"/>
          <w:sz w:val="14"/>
        </w:rPr>
        <w:t xml:space="preserve">© 2010 Society for Human Resource Management. John W. Boudreau, Ph.D.  </w:t>
      </w:r>
      <w:r>
        <w:rPr>
          <w:rFonts w:ascii="Futura" w:hAnsi="Futura" w:eastAsia="Futura"/>
          <w:b w:val="0"/>
          <w:i w:val="0"/>
          <w:color w:val="000000"/>
          <w:sz w:val="14"/>
        </w:rPr>
        <w:t>5</w:t>
      </w:r>
    </w:p>
    <w:p>
      <w:pPr>
        <w:sectPr>
          <w:pgSz w:w="12240" w:h="15840"/>
          <w:pgMar w:top="1264" w:right="700" w:bottom="0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6"/>
        <w:ind w:left="0" w:right="0"/>
      </w:pPr>
    </w:p>
    <w:p>
      <w:pPr>
        <w:autoSpaceDN w:val="0"/>
        <w:autoSpaceDE w:val="0"/>
        <w:widowControl/>
        <w:spacing w:line="242" w:lineRule="exact" w:before="0" w:after="0"/>
        <w:ind w:left="540" w:right="0" w:firstLine="0"/>
        <w:jc w:val="left"/>
      </w:pPr>
      <w:r>
        <w:rPr>
          <w:rFonts w:ascii="AkzidenzGroteskBE" w:hAnsi="AkzidenzGroteskBE" w:eastAsia="AkzidenzGroteskBE"/>
          <w:b w:val="0"/>
          <w:i w:val="0"/>
          <w:color w:val="00B5CC"/>
          <w:sz w:val="20"/>
        </w:rPr>
        <w:t>IBM in 2003</w:t>
      </w:r>
    </w:p>
    <w:p>
      <w:pPr>
        <w:autoSpaceDN w:val="0"/>
        <w:autoSpaceDE w:val="0"/>
        <w:widowControl/>
        <w:spacing w:line="260" w:lineRule="exact" w:before="72" w:after="0"/>
        <w:ind w:left="540" w:right="2736" w:firstLine="0"/>
        <w:jc w:val="left"/>
      </w:pP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IBM had found that its most promising clients were enterprises. In the late 1990s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and early 2000s, enterprise clients were becoming more demanding. Business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computing was increasingly a service clients could get through many channels,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and it was becoming a commodity. IBM clients were seeing their own businesses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change as well and increasingly demand information technology services that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understood, anticipated and responded to those specific changes. Clients were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saying, “Know my business better, add value to me, and don’t just find ways to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show why I should buy your existing products and services. IBM doesn’t give me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what I need, as much as try to sell me your stuff. Increasingly, IBM has the wrong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offer set, because you are not keeping up with changes in my business.” </w:t>
      </w:r>
    </w:p>
    <w:p>
      <w:pPr>
        <w:autoSpaceDN w:val="0"/>
        <w:autoSpaceDE w:val="0"/>
        <w:widowControl/>
        <w:spacing w:line="260" w:lineRule="exact" w:before="144" w:after="0"/>
        <w:ind w:left="540" w:right="2880" w:firstLine="0"/>
        <w:jc w:val="left"/>
      </w:pP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Palmisano and the IBM leadership concluded that to be successful, IBM would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need to derive as much as 70 percent of its revenues outside the Americas by the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year 2009. In 2003, the percentage of revenues from outside the Americas was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only about 57 percent, consisting of US$34.8 million from the United States,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US$3.5 million from other countries in the Americas, US$29 million from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Europe/Middle East/Africa, US$19 million from Asia Pacific and US$2.6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million from others. </w:t>
      </w:r>
    </w:p>
    <w:p>
      <w:pPr>
        <w:autoSpaceDN w:val="0"/>
        <w:autoSpaceDE w:val="0"/>
        <w:widowControl/>
        <w:spacing w:line="260" w:lineRule="exact" w:before="144" w:after="0"/>
        <w:ind w:left="540" w:right="2736" w:firstLine="0"/>
        <w:jc w:val="left"/>
      </w:pP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IBM was not distinctively knowledgeable or unique in hardware or software (like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Intel or Microsoft). Rather, IBM differentiated itself on its practical know-how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and the ability to deliver its services quickly, effectively and efficiently. That meant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that while a client might have operations in one country, the client’s purchasers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might be in another country, the IBM programmers might be in another, the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IT architects in another, etc. The idea was that while sometimes the workforce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delivering the services did need to be in the same country as the client’s operations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or purchasing decision makers, in many cases the workforce did not need to be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located there. Increasingly, it was becoming apparent that IBM’s competitive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advantage would hinge on globally optimizing service delivery rather than on </w:t>
      </w:r>
      <w:r>
        <w:rPr>
          <w:rFonts w:ascii="Galliard" w:hAnsi="Galliard" w:eastAsia="Galliard"/>
          <w:b w:val="0"/>
          <w:i w:val="0"/>
          <w:color w:val="000000"/>
          <w:sz w:val="19"/>
        </w:rPr>
        <w:t>coordinating multiple operations across several nations.</w:t>
      </w:r>
    </w:p>
    <w:p>
      <w:pPr>
        <w:autoSpaceDN w:val="0"/>
        <w:autoSpaceDE w:val="0"/>
        <w:widowControl/>
        <w:spacing w:line="242" w:lineRule="exact" w:before="380" w:after="0"/>
        <w:ind w:left="540" w:right="0" w:firstLine="0"/>
        <w:jc w:val="left"/>
      </w:pPr>
      <w:r>
        <w:rPr>
          <w:rFonts w:ascii="AkzidenzGroteskBE" w:hAnsi="AkzidenzGroteskBE" w:eastAsia="AkzidenzGroteskBE"/>
          <w:b w:val="0"/>
          <w:i w:val="0"/>
          <w:color w:val="00B5CC"/>
          <w:sz w:val="20"/>
        </w:rPr>
        <w:t>The Evidence That Something Needed to Change</w:t>
      </w:r>
    </w:p>
    <w:p>
      <w:pPr>
        <w:autoSpaceDN w:val="0"/>
        <w:autoSpaceDE w:val="0"/>
        <w:widowControl/>
        <w:spacing w:line="260" w:lineRule="exact" w:before="72" w:after="0"/>
        <w:ind w:left="540" w:right="2736" w:firstLine="0"/>
        <w:jc w:val="left"/>
      </w:pP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Aside from the emergence of the GIE, there were a number of signals within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IBM that suggested room for improvement in how the organization measured,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tracked, deployed and developed the workforce. Taken together, they suggested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the immense potential value that a more rigorous approach might create. The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current system wasn’t broken, and most IBMers believed it was quite adequate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and working well. They would need specific evidence of the potential payoff from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overhauling the system because there would be understandable resistance to such a </w:t>
      </w:r>
      <w:r>
        <w:rPr>
          <w:rFonts w:ascii="Galliard" w:hAnsi="Galliard" w:eastAsia="Galliard"/>
          <w:b w:val="0"/>
          <w:i w:val="0"/>
          <w:color w:val="000000"/>
          <w:sz w:val="19"/>
        </w:rPr>
        <w:t>significant change.</w:t>
      </w:r>
    </w:p>
    <w:p>
      <w:pPr>
        <w:autoSpaceDN w:val="0"/>
        <w:autoSpaceDE w:val="0"/>
        <w:widowControl/>
        <w:spacing w:line="182" w:lineRule="exact" w:before="1908" w:after="0"/>
        <w:ind w:left="112" w:right="0" w:firstLine="0"/>
        <w:jc w:val="left"/>
      </w:pPr>
      <w:r>
        <w:rPr>
          <w:rFonts w:ascii="Futura" w:hAnsi="Futura" w:eastAsia="Futura"/>
          <w:b w:val="0"/>
          <w:i w:val="0"/>
          <w:color w:val="000000"/>
          <w:sz w:val="14"/>
        </w:rPr>
        <w:t>6</w:t>
      </w:r>
      <w:r>
        <w:rPr>
          <w:rFonts w:ascii="Futura" w:hAnsi="Futura" w:eastAsia="Futura"/>
          <w:b w:val="0"/>
          <w:i w:val="0"/>
          <w:color w:val="00B5CC"/>
          <w:sz w:val="14"/>
        </w:rPr>
        <w:t xml:space="preserve">© 2010 Society for Human Resource Management. John W. Boudreau, Ph.D. </w:t>
      </w:r>
    </w:p>
    <w:p>
      <w:pPr>
        <w:sectPr>
          <w:pgSz w:w="12240" w:h="15840"/>
          <w:pgMar w:top="1264" w:right="1440" w:bottom="0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4"/>
        <w:ind w:left="0" w:right="0"/>
      </w:pPr>
    </w:p>
    <w:p>
      <w:pPr>
        <w:autoSpaceDN w:val="0"/>
        <w:autoSpaceDE w:val="0"/>
        <w:widowControl/>
        <w:spacing w:line="256" w:lineRule="exact" w:before="0" w:after="0"/>
        <w:ind w:left="0" w:right="3456" w:firstLine="0"/>
        <w:jc w:val="left"/>
      </w:pPr>
      <w:r>
        <w:rPr>
          <w:rFonts w:ascii="AkzidenzGroteskBE" w:hAnsi="AkzidenzGroteskBE" w:eastAsia="AkzidenzGroteskBE"/>
          <w:b/>
          <w:i w:val="0"/>
          <w:color w:val="00B5CC"/>
          <w:sz w:val="20"/>
        </w:rPr>
        <w:t xml:space="preserve">Low Utilization Rates and Needless Talent Gaps and Surpluses </w:t>
      </w:r>
      <w:r>
        <w:br/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Perhaps the most vivid quantitative indicator of the potential value of improved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workforce management was utilization rates in the services population. At any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single moment, IBM had open slots that needed to be filled to complete a project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successfully. At the same time, at any moment, IBM had “frictional” unemployment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of individuals who were “on the bench” awaiting assignments. They were essentially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simply waiting for something to do. </w:t>
      </w:r>
    </w:p>
    <w:p>
      <w:pPr>
        <w:autoSpaceDN w:val="0"/>
        <w:autoSpaceDE w:val="0"/>
        <w:widowControl/>
        <w:spacing w:line="260" w:lineRule="exact" w:before="144" w:after="0"/>
        <w:ind w:left="0" w:right="3744" w:firstLine="0"/>
        <w:jc w:val="center"/>
      </w:pP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An answer to the question of who was on the bench and who was unavailable was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based on very antiquated methods, reflecting little consistency and coordination. </w:t>
      </w:r>
    </w:p>
    <w:p>
      <w:pPr>
        <w:autoSpaceDN w:val="0"/>
        <w:autoSpaceDE w:val="0"/>
        <w:widowControl/>
        <w:spacing w:line="260" w:lineRule="exact" w:before="0" w:after="0"/>
        <w:ind w:left="0" w:right="3456" w:firstLine="0"/>
        <w:jc w:val="left"/>
      </w:pP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There was a general feeling that IBM was plagued by the dual problem of having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a lot of unneeded duplication in its talent, while at the same time suffering from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business-stopping gaps due to a lack of the right talent. The Finance group had an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indicator for at least part of the problem. IBM’s utilization rates were below the best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in the industry. The Finance group had a monthly report that calculated how the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utilization rates translated into lost consulting business opportunities. </w:t>
      </w:r>
    </w:p>
    <w:p>
      <w:pPr>
        <w:autoSpaceDN w:val="0"/>
        <w:autoSpaceDE w:val="0"/>
        <w:widowControl/>
        <w:spacing w:line="260" w:lineRule="exact" w:before="206" w:after="0"/>
        <w:ind w:left="0" w:right="3456" w:firstLine="0"/>
        <w:jc w:val="left"/>
      </w:pPr>
      <w:r>
        <w:rPr>
          <w:rFonts w:ascii="AkzidenzGroteskBE" w:hAnsi="AkzidenzGroteskBE" w:eastAsia="AkzidenzGroteskBE"/>
          <w:b/>
          <w:i w:val="0"/>
          <w:color w:val="00B5CC"/>
          <w:sz w:val="20"/>
        </w:rPr>
        <w:t xml:space="preserve">Bottlenecks in Service Delivery </w:t>
      </w:r>
      <w:r>
        <w:br/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IBM leaders saw these gaps in supply and demand as bottlenecks. They had begun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to ask, “How can we sustain this? We can’t expect to survive long if we don’t make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better and quicker matches between our talent and our needs.” They could also see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the immense change in IBM’s cost structure and competitive agility if leaders could </w:t>
      </w:r>
      <w:r>
        <w:rPr>
          <w:rFonts w:ascii="Galliard" w:hAnsi="Galliard" w:eastAsia="Galliard"/>
          <w:b w:val="0"/>
          <w:i w:val="0"/>
          <w:color w:val="000000"/>
          <w:sz w:val="19"/>
        </w:rPr>
        <w:t>more quickly identify and deploy needed talent from among IBM’s vast and high-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quality global workforce. A key metric was to reduce the “time to value,” meaning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the time elapsed from a client request to when the business could respond. Several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leaders suggested a metaphor of a talent supply chain and suggested that IBM’s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talent deployment could be designed and evaluated using supply chain principles.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The indicator was something like, “we sold a job, now we can’t get the people.” Not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only were these bottlenecks annoying to IBM leaders, but there was evidence that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they were contributing to an unacceptable level of unsatisfied clients and a lack of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market penetration in key strategic regions. </w:t>
      </w:r>
    </w:p>
    <w:p>
      <w:pPr>
        <w:autoSpaceDN w:val="0"/>
        <w:autoSpaceDE w:val="0"/>
        <w:widowControl/>
        <w:spacing w:line="260" w:lineRule="exact" w:before="208" w:after="0"/>
        <w:ind w:left="0" w:right="3456" w:firstLine="0"/>
        <w:jc w:val="left"/>
      </w:pPr>
      <w:r>
        <w:rPr>
          <w:rFonts w:ascii="AkzidenzGroteskBE" w:hAnsi="AkzidenzGroteskBE" w:eastAsia="AkzidenzGroteskBE"/>
          <w:b/>
          <w:i w:val="0"/>
          <w:color w:val="00B5CC"/>
          <w:sz w:val="20"/>
        </w:rPr>
        <w:t xml:space="preserve">Disconnected Talent Supply Sources </w:t>
      </w:r>
      <w:r>
        <w:br/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If IBM’s talent pipeline was considered through a supply chain metaphor, then </w:t>
      </w:r>
      <w:r>
        <w:rPr>
          <w:rFonts w:ascii="Galliard" w:hAnsi="Galliard" w:eastAsia="Galliard"/>
          <w:b w:val="0"/>
          <w:i w:val="0"/>
          <w:color w:val="000000"/>
          <w:sz w:val="19"/>
        </w:rPr>
        <w:t>the “sources” of talent might be considered in three broad categories: (1) full-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time employees, (2) applicants, (3) contractors. At IBM, and as is the case in most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organizations, the three talent pools were managed largely independently of one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another. Full-time employees were managed through the IBM human resources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(HR) organization, consisting of full-time professionals at corporate headquarters,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in the regions, supporting the businesses and residing in centers of expertise and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information systems throughout the world. Randy MacDonald was the head of this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organization, in the same way that the CFO oversaw the finance and accounting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organizations. Applicants were also strongly supported by IBM’s HR organization,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though the detailed information about applicants or those who might be attracted to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become applicants often resided in the local regions, with the local HR organization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or even the local recruiting organization. In contrast, contractor hiring was entirely </w:t>
      </w:r>
    </w:p>
    <w:p>
      <w:pPr>
        <w:autoSpaceDN w:val="0"/>
        <w:autoSpaceDE w:val="0"/>
        <w:widowControl/>
        <w:spacing w:line="182" w:lineRule="exact" w:before="854" w:after="0"/>
        <w:ind w:left="0" w:right="122" w:firstLine="0"/>
        <w:jc w:val="right"/>
      </w:pPr>
      <w:r>
        <w:rPr>
          <w:rFonts w:ascii="Futura" w:hAnsi="Futura" w:eastAsia="Futura"/>
          <w:b w:val="0"/>
          <w:i w:val="0"/>
          <w:color w:val="00B5CC"/>
          <w:sz w:val="14"/>
        </w:rPr>
        <w:t xml:space="preserve">© 2010 Society for Human Resource Management. John W. Boudreau, Ph.D.  </w:t>
      </w:r>
      <w:r>
        <w:rPr>
          <w:rFonts w:ascii="Futura" w:hAnsi="Futura" w:eastAsia="Futura"/>
          <w:b w:val="0"/>
          <w:i w:val="0"/>
          <w:color w:val="000000"/>
          <w:sz w:val="14"/>
        </w:rPr>
        <w:t>7</w:t>
      </w:r>
    </w:p>
    <w:p>
      <w:pPr>
        <w:sectPr>
          <w:pgSz w:w="12240" w:h="15840"/>
          <w:pgMar w:top="1264" w:right="700" w:bottom="0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6"/>
        <w:ind w:left="0" w:right="0"/>
      </w:pPr>
    </w:p>
    <w:p>
      <w:pPr>
        <w:autoSpaceDN w:val="0"/>
        <w:autoSpaceDE w:val="0"/>
        <w:widowControl/>
        <w:spacing w:line="258" w:lineRule="exact" w:before="0" w:after="0"/>
        <w:ind w:left="360" w:right="2736" w:firstLine="0"/>
        <w:jc w:val="left"/>
      </w:pP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driven by the businesses. Even at the local levels, there was little visibility between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contractor hiring decisions made by project teams or local business units and the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status of full-time employees and applicants. There was even less visibility, and thus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even less coordination, between the contractor hiring decisions in the businesses in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one location and those being made elsewhere in IBM. This meant that you could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quite easily have some businesses hiring contractors because they needed talent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immediately while there was IBM full-time talent available but unknown to the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business unit. Or, a business unit might fill a talent gap with long-term relationships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with contractors, when it would be more cost-effective to bring on full-time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employees through the applicant pool. However, because there was no visibility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between the talent pools, such opportunities too often went unnoticed. </w:t>
      </w:r>
    </w:p>
    <w:p>
      <w:pPr>
        <w:autoSpaceDN w:val="0"/>
        <w:autoSpaceDE w:val="0"/>
        <w:widowControl/>
        <w:spacing w:line="260" w:lineRule="exact" w:before="206" w:after="0"/>
        <w:ind w:left="360" w:right="2736" w:firstLine="0"/>
        <w:jc w:val="left"/>
      </w:pPr>
      <w:r>
        <w:rPr>
          <w:rFonts w:ascii="AkzidenzGroteskBE" w:hAnsi="AkzidenzGroteskBE" w:eastAsia="AkzidenzGroteskBE"/>
          <w:b/>
          <w:i w:val="0"/>
          <w:color w:val="00B5CC"/>
          <w:sz w:val="20"/>
        </w:rPr>
        <w:t xml:space="preserve">Missed Opportunities for Meaningful Workforce Development </w:t>
      </w:r>
      <w:r>
        <w:br/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IBM’s long tradition of treating its people well was a hallmark of IBM’s culture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and approach to people strategy and HR management. One 2009 internal IBM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presentation stated, “IBM’s most important innovation was the IBMer.” IBM had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traditionally been known as a place that was committed to its employees rather than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treating them like simply costs of production. Yet, it was not simply a commitment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to make employees “happy.” IBM’s commitment was based on the idea that a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fundamental set of beliefs could “transcend economic cycles, geopolitical shifts,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and generations of products, technologies, employees and leaders.” In 2003, IBM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had been named Company of the Year by the Society for Hispanic Professional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Engineers, ranked in the top 10 by the National Association for Female Executives,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named by </w:t>
      </w:r>
      <w:r>
        <w:rPr>
          <w:rFonts w:ascii="Galliard" w:hAnsi="Galliard" w:eastAsia="Galliard"/>
          <w:b w:val="0"/>
          <w:i/>
          <w:color w:val="000000"/>
          <w:sz w:val="19"/>
        </w:rPr>
        <w:t>Working Mother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 magazine as one of the best companies for multicultural </w:t>
      </w:r>
      <w:r>
        <w:rPr>
          <w:rFonts w:ascii="Galliard" w:hAnsi="Galliard" w:eastAsia="Galliard"/>
          <w:b w:val="0"/>
          <w:i w:val="0"/>
          <w:color w:val="000000"/>
          <w:sz w:val="19"/>
        </w:rPr>
        <w:t>women, and had been named among the top 10 companies for women for 15 years.</w:t>
      </w:r>
    </w:p>
    <w:p>
      <w:pPr>
        <w:autoSpaceDN w:val="0"/>
        <w:autoSpaceDE w:val="0"/>
        <w:widowControl/>
        <w:spacing w:line="260" w:lineRule="exact" w:before="146" w:after="0"/>
        <w:ind w:left="360" w:right="2736" w:firstLine="0"/>
        <w:jc w:val="left"/>
      </w:pPr>
      <w:r>
        <w:rPr>
          <w:rFonts w:ascii="Galliard" w:hAnsi="Galliard" w:eastAsia="Galliard"/>
          <w:b w:val="0"/>
          <w:i w:val="0"/>
          <w:color w:val="000000"/>
          <w:sz w:val="19"/>
        </w:rPr>
        <w:t>While the competitive markets of the 21</w:t>
      </w:r>
      <w:r>
        <w:rPr>
          <w:rFonts w:ascii="Galliard" w:hAnsi="Galliard" w:eastAsia="Galliard"/>
          <w:b w:val="0"/>
          <w:i w:val="0"/>
          <w:color w:val="000000"/>
          <w:sz w:val="11"/>
        </w:rPr>
        <w:t>st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 century made policies like “no layoffs”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impossible to credibly pursue, the paradox was that the generation of workers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coming of age seemed to increasingly value organizations that made significant and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well-considered investments in their people. Particularly in emerging markets, IBM’s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global brand and vaunted reputation for enlightened human resource management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made it a strong candidate for talented young people interested in developing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cutting-edge capabilities and a global career. </w:t>
      </w:r>
    </w:p>
    <w:p>
      <w:pPr>
        <w:autoSpaceDN w:val="0"/>
        <w:autoSpaceDE w:val="0"/>
        <w:widowControl/>
        <w:spacing w:line="260" w:lineRule="exact" w:before="144" w:after="0"/>
        <w:ind w:left="360" w:right="2736" w:firstLine="0"/>
        <w:jc w:val="left"/>
      </w:pP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That said, the reality did not always live up to the imagery. For someone to move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from Argentina to New York, it often depended on whether that person or his or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her manager knew the right person to call in New York to make the connection,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identify the role that could be filled in New York and manage the process of making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the move, rationalizing compensation and benefits, etc. In an interview with the </w:t>
      </w:r>
      <w:r>
        <w:rPr>
          <w:rFonts w:ascii="Galliard" w:hAnsi="Galliard" w:eastAsia="Galliard"/>
          <w:b w:val="0"/>
          <w:i/>
          <w:color w:val="000000"/>
          <w:sz w:val="19"/>
        </w:rPr>
        <w:t>Harvard Business Review</w:t>
      </w:r>
      <w:r>
        <w:rPr>
          <w:rFonts w:ascii="Galliard" w:hAnsi="Galliard" w:eastAsia="Galliard"/>
          <w:b w:val="0"/>
          <w:i w:val="0"/>
          <w:color w:val="000000"/>
          <w:sz w:val="19"/>
        </w:rPr>
        <w:t>, Sam Palmisano recalled the feedback from a unique 72-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hour Internet discussion, called “jam,” about IBM’s future, initiated by Palmisano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and his team in 2003, where 50,000 IBMers posted nearly 10,000 comments. </w:t>
      </w:r>
    </w:p>
    <w:p>
      <w:pPr>
        <w:autoSpaceDN w:val="0"/>
        <w:autoSpaceDE w:val="0"/>
        <w:widowControl/>
        <w:spacing w:line="260" w:lineRule="exact" w:before="0" w:after="0"/>
        <w:ind w:left="360" w:right="2736" w:firstLine="0"/>
        <w:jc w:val="left"/>
      </w:pP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One example the CEO cited was employees’ descriptions of extremely frustrating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situations. They’d say something like: “I’m in Tokyo, prototyping software for a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client, and I need a software engineer based in Austin right now to help in a blade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server configuration. But I can’t just say, ‘Please come to Tokyo and help.’ I need to </w:t>
      </w:r>
      <w:r>
        <w:rPr>
          <w:rFonts w:ascii="Galliard" w:hAnsi="Galliard" w:eastAsia="Galliard"/>
          <w:b w:val="0"/>
          <w:i w:val="0"/>
          <w:color w:val="000000"/>
          <w:sz w:val="19"/>
        </w:rPr>
        <w:t>get a charge code first so I can pay his department for his time!”</w:t>
      </w:r>
      <w:r>
        <w:rPr>
          <w:rFonts w:ascii="Galliard" w:hAnsi="Galliard" w:eastAsia="Galliard"/>
          <w:b w:val="0"/>
          <w:i w:val="0"/>
          <w:color w:val="000000"/>
          <w:sz w:val="11"/>
        </w:rPr>
        <w:t>8</w:t>
      </w:r>
    </w:p>
    <w:p>
      <w:pPr>
        <w:autoSpaceDN w:val="0"/>
        <w:autoSpaceDE w:val="0"/>
        <w:widowControl/>
        <w:spacing w:line="182" w:lineRule="exact" w:before="656" w:after="0"/>
        <w:ind w:left="112" w:right="0" w:firstLine="0"/>
        <w:jc w:val="left"/>
      </w:pPr>
      <w:r>
        <w:rPr>
          <w:rFonts w:ascii="Futura" w:hAnsi="Futura" w:eastAsia="Futura"/>
          <w:b w:val="0"/>
          <w:i w:val="0"/>
          <w:color w:val="000000"/>
          <w:sz w:val="14"/>
        </w:rPr>
        <w:t>8</w:t>
      </w:r>
      <w:r>
        <w:rPr>
          <w:rFonts w:ascii="Futura" w:hAnsi="Futura" w:eastAsia="Futura"/>
          <w:b w:val="0"/>
          <w:i w:val="0"/>
          <w:color w:val="00B5CC"/>
          <w:sz w:val="14"/>
        </w:rPr>
        <w:t xml:space="preserve">© 2010 Society for Human Resource Management. John W. Boudreau, Ph.D. </w:t>
      </w:r>
    </w:p>
    <w:p>
      <w:pPr>
        <w:sectPr>
          <w:pgSz w:w="12240" w:h="15840"/>
          <w:pgMar w:top="1264" w:right="1440" w:bottom="0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6"/>
        <w:ind w:left="0" w:right="0"/>
      </w:pPr>
    </w:p>
    <w:p>
      <w:pPr>
        <w:autoSpaceDN w:val="0"/>
        <w:autoSpaceDE w:val="0"/>
        <w:widowControl/>
        <w:spacing w:line="258" w:lineRule="exact" w:before="0" w:after="0"/>
        <w:ind w:left="0" w:right="3600" w:firstLine="0"/>
        <w:jc w:val="left"/>
      </w:pP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It wasn’t that such things didn’t happen quite regularly, and indeed IBM’s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managerial workforce was among the most devoted to working hard to make such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opportunities happen. Still, within the current system, there was a feeling that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too many opportunities were missed, or that IBM leaders simply did not have the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information they needed to see all the possible opportunities for their eager young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subordinates. For example, in Poland, IBM’s pay levels were about at parity with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organizations like Dell, HP and local employers. Yet, IBM enjoyed a stronger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attraction among technically trained job applicants because of its reputation for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global development. However, because the Poland market was growing so fast,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IBM’s leaders there had little time to spend, and even less information available,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to create development opportunities that were vital not only for retaining that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workforce but for preparing it for the future. </w:t>
      </w:r>
    </w:p>
    <w:p>
      <w:pPr>
        <w:autoSpaceDN w:val="0"/>
        <w:autoSpaceDE w:val="0"/>
        <w:widowControl/>
        <w:spacing w:line="260" w:lineRule="exact" w:before="144" w:after="0"/>
        <w:ind w:left="0" w:right="3456" w:firstLine="0"/>
        <w:jc w:val="left"/>
      </w:pP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As one leader put it, “It was the transparent opportunity for learning that they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wanted. They were not arguing for higher pay, but for us to give them the chance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to take advantage of IBM’s global workforce footprint, so they could develop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themselves. Development had become the vital factor in the employment deal, and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it offset pay, but we had to find a way to allow folks to use the system now that the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opportunities were so visible. A big lesson is that in developing countries, people are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here to learn.” For example, the opportunity to become a certified IT architect in a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specific number of years is a huge draw in developing countries. IBM was in danger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of losing one of its most cherished and valuable distinctions precisely at a time when </w:t>
      </w:r>
      <w:r>
        <w:rPr>
          <w:rFonts w:ascii="Galliard" w:hAnsi="Galliard" w:eastAsia="Galliard"/>
          <w:b w:val="0"/>
          <w:i w:val="0"/>
          <w:color w:val="000000"/>
          <w:sz w:val="19"/>
        </w:rPr>
        <w:t>the future employees IBM needed most—and those who were the most sought-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after—were making that distinction more valuable. </w:t>
      </w:r>
    </w:p>
    <w:p>
      <w:pPr>
        <w:autoSpaceDN w:val="0"/>
        <w:autoSpaceDE w:val="0"/>
        <w:widowControl/>
        <w:spacing w:line="260" w:lineRule="exact" w:before="144" w:after="0"/>
        <w:ind w:left="0" w:right="3456" w:firstLine="0"/>
        <w:jc w:val="left"/>
      </w:pP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This was also the answer to a question that would be raised by investors or business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leaders: “Why couldn’t IBM cut costs and improve deployment simply by reducing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the dilemma to a matter of labor arbitrage? Why couldn’t IBM just reduce expensive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and unneeded workforce elements and replace them by hiring workers in emerging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countries that had cheaper labor?” The answer, of course, was that it was not always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the case that the talent in emerging countries could do what the more expensive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and more experienced talent in developed countries could do. Clients wanted the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best of both worlds, a local workforce that could deliver like the best in the world. </w:t>
      </w:r>
    </w:p>
    <w:p>
      <w:pPr>
        <w:autoSpaceDN w:val="0"/>
        <w:autoSpaceDE w:val="0"/>
        <w:widowControl/>
        <w:spacing w:line="260" w:lineRule="exact" w:before="0" w:after="0"/>
        <w:ind w:left="0" w:right="3456" w:firstLine="0"/>
        <w:jc w:val="left"/>
      </w:pP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Thus, the dilemma was more subtle. How could IBM deploy its more experienced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and expensive workforce located largely in developed countries to projects </w:t>
      </w:r>
      <w:r>
        <w:br/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that increasingly were located in developing countries, while at the same time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systematically upskill the developing-country workforce to offer IBM a long-term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cost and effectiveness advantage? It seemed that somewhere in that equation there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was actually a win-win whereby the existing IBM workforce was deployed not only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to do the work but to be part of the talent development process. This seemed a much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more humane and logical approach than perpetually chasing lower-cost labor around </w:t>
      </w:r>
      <w:r>
        <w:rPr>
          <w:rFonts w:ascii="Galliard" w:hAnsi="Galliard" w:eastAsia="Galliard"/>
          <w:b w:val="0"/>
          <w:i w:val="0"/>
          <w:color w:val="000000"/>
          <w:sz w:val="19"/>
        </w:rPr>
        <w:t>the world.</w:t>
      </w:r>
    </w:p>
    <w:p>
      <w:pPr>
        <w:autoSpaceDN w:val="0"/>
        <w:autoSpaceDE w:val="0"/>
        <w:widowControl/>
        <w:spacing w:line="258" w:lineRule="exact" w:before="146" w:after="0"/>
        <w:ind w:left="0" w:right="3600" w:firstLine="0"/>
        <w:jc w:val="left"/>
      </w:pP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Sam Palmisano had summed it up. In the </w:t>
      </w:r>
      <w:r>
        <w:rPr>
          <w:rFonts w:ascii="Galliard" w:hAnsi="Galliard" w:eastAsia="Galliard"/>
          <w:b w:val="0"/>
          <w:i/>
          <w:color w:val="000000"/>
          <w:sz w:val="19"/>
        </w:rPr>
        <w:t>Harvard Business Review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 interview in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2004, he related his experience with the feedback he received in 2003 from 50,000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IBMers: </w:t>
      </w:r>
    </w:p>
    <w:p>
      <w:pPr>
        <w:autoSpaceDN w:val="0"/>
        <w:autoSpaceDE w:val="0"/>
        <w:widowControl/>
        <w:spacing w:line="182" w:lineRule="exact" w:before="980" w:after="0"/>
        <w:ind w:left="0" w:right="122" w:firstLine="0"/>
        <w:jc w:val="right"/>
      </w:pPr>
      <w:r>
        <w:rPr>
          <w:rFonts w:ascii="Futura" w:hAnsi="Futura" w:eastAsia="Futura"/>
          <w:b w:val="0"/>
          <w:i w:val="0"/>
          <w:color w:val="00B5CC"/>
          <w:sz w:val="14"/>
        </w:rPr>
        <w:t xml:space="preserve">© 2010 Society for Human Resource Management. John W. Boudreau, Ph.D.  </w:t>
      </w:r>
      <w:r>
        <w:rPr>
          <w:rFonts w:ascii="Futura" w:hAnsi="Futura" w:eastAsia="Futura"/>
          <w:b w:val="0"/>
          <w:i w:val="0"/>
          <w:color w:val="000000"/>
          <w:sz w:val="14"/>
        </w:rPr>
        <w:t>9</w:t>
      </w:r>
    </w:p>
    <w:p>
      <w:pPr>
        <w:sectPr>
          <w:pgSz w:w="12240" w:h="15840"/>
          <w:pgMar w:top="1264" w:right="700" w:bottom="0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6"/>
        <w:ind w:left="0" w:right="0"/>
      </w:pPr>
    </w:p>
    <w:p>
      <w:pPr>
        <w:autoSpaceDN w:val="0"/>
        <w:autoSpaceDE w:val="0"/>
        <w:widowControl/>
        <w:spacing w:line="256" w:lineRule="exact" w:before="0" w:after="0"/>
        <w:ind w:left="1080" w:right="3168" w:firstLine="0"/>
        <w:jc w:val="left"/>
      </w:pP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“We collected and collated it. Then I printed all of it out—the stack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of paper was about three feet high—and took it home to read over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one weekend. On Monday morning, I walked into our executive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committee meeting and threw it on the table. I said, ‘You guys ought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to read every one of these comments, because if you think we’ve got </w:t>
      </w:r>
      <w:r>
        <w:rPr>
          <w:rFonts w:ascii="Galliard" w:hAnsi="Galliard" w:eastAsia="Galliard"/>
          <w:b w:val="0"/>
          <w:i w:val="0"/>
          <w:color w:val="000000"/>
          <w:sz w:val="19"/>
        </w:rPr>
        <w:t>this place plumbed correctly, think again.’”</w:t>
      </w:r>
      <w:r>
        <w:rPr>
          <w:rFonts w:ascii="Galliard" w:hAnsi="Galliard" w:eastAsia="Galliard"/>
          <w:b w:val="0"/>
          <w:i w:val="0"/>
          <w:color w:val="000000"/>
          <w:sz w:val="11"/>
        </w:rPr>
        <w:t>9</w:t>
      </w:r>
    </w:p>
    <w:p>
      <w:pPr>
        <w:autoSpaceDN w:val="0"/>
        <w:autoSpaceDE w:val="0"/>
        <w:widowControl/>
        <w:spacing w:line="260" w:lineRule="exact" w:before="206" w:after="0"/>
        <w:ind w:left="360" w:right="2736" w:firstLine="0"/>
        <w:jc w:val="left"/>
      </w:pPr>
      <w:r>
        <w:rPr>
          <w:rFonts w:ascii="AkzidenzGroteskBE" w:hAnsi="AkzidenzGroteskBE" w:eastAsia="AkzidenzGroteskBE"/>
          <w:b/>
          <w:i w:val="0"/>
          <w:color w:val="00B5CC"/>
          <w:sz w:val="20"/>
        </w:rPr>
        <w:t xml:space="preserve">The Language of “Work” Was Insufficient </w:t>
      </w:r>
      <w:r>
        <w:br/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IBM faced a fundamental question. IBM’s current talent management systems were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state of the art by any standard and yet, in many ways, seemed inadequate to the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future challenges of the talent needs of the globally integrated enterprise. What was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the fundamental limitation in the current systems? Of course, there was the question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of greater integration and transparency, but as Randy and his team considered the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implications, they realized that the very language of the work might be at fault. At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first blush, you might think that the solution to the dilemma was not that difficult. </w:t>
      </w:r>
    </w:p>
    <w:p>
      <w:pPr>
        <w:autoSpaceDN w:val="0"/>
        <w:autoSpaceDE w:val="0"/>
        <w:widowControl/>
        <w:spacing w:line="260" w:lineRule="exact" w:before="0" w:after="0"/>
        <w:ind w:left="360" w:right="3024" w:firstLine="0"/>
        <w:jc w:val="left"/>
      </w:pP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You might think you could generate the talent development and movement you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needed by just requiring managers to contact their counterparts when they had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needs or surpluses. Leaders in France could ask leaders in the UK or Germany, or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vice versa. </w:t>
      </w:r>
    </w:p>
    <w:p>
      <w:pPr>
        <w:autoSpaceDN w:val="0"/>
        <w:autoSpaceDE w:val="0"/>
        <w:widowControl/>
        <w:spacing w:line="260" w:lineRule="exact" w:before="144" w:after="0"/>
        <w:ind w:left="360" w:right="2736" w:firstLine="0"/>
        <w:jc w:val="left"/>
      </w:pP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Yet, as the HR leadership team considered what would happen when such contacts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occurred, they realized that the language used to describe the work in different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countries, professions and even different projects was like comparing apples and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oranges. This is one reason that employee movement so often hinged on making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the right personal connections. Just like in most organizations, at IBM this was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often the only practical way that two opportunities in different countries could be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compared to each other. The managers would have to sit down and really hash out in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detail what they meant by things like work tasks, qualifications, key success factors,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etc. Many organizations had adopted skills inventories or competency-based systems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to provide a kind of common language against which many aspects of the talent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management system could be directed. Thus, it was not unusual for organizations to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impose a competency or skill-based system that had been designed by HR and then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require that the organization use that system to describe employee performance,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employee capabilities, the outcomes of learning and career development experiences,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the qualifications of applicants, and the bases on which employees were paid. Such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systems had appeal, because if you had a common language, it allowed all of your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talent systems to “talk to each other.” However, such systems were usually applied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either in very technical areas, where skill sets were defined, or with leadership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development, where broad competencies like “vision,” “flexibility” and “ability to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execute” were used. If the language was too specific, it would provide very little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additional integration than the myriad work descriptions IBM already had. On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the other hand, if made too generic, it would fail to capture potentially important </w:t>
      </w:r>
      <w:r>
        <w:rPr>
          <w:rFonts w:ascii="Galliard" w:hAnsi="Galliard" w:eastAsia="Galliard"/>
          <w:b w:val="0"/>
          <w:i w:val="0"/>
          <w:color w:val="000000"/>
          <w:sz w:val="19"/>
        </w:rPr>
        <w:t>nuances.</w:t>
      </w:r>
      <w:r>
        <w:rPr>
          <w:rFonts w:ascii="Galliard" w:hAnsi="Galliard" w:eastAsia="Galliard"/>
          <w:b w:val="0"/>
          <w:i w:val="0"/>
          <w:color w:val="000000"/>
          <w:sz w:val="11"/>
        </w:rPr>
        <w:t>10</w:t>
      </w:r>
    </w:p>
    <w:p>
      <w:pPr>
        <w:autoSpaceDN w:val="0"/>
        <w:autoSpaceDE w:val="0"/>
        <w:widowControl/>
        <w:spacing w:line="182" w:lineRule="exact" w:before="1582" w:after="0"/>
        <w:ind w:left="112" w:right="0" w:firstLine="0"/>
        <w:jc w:val="left"/>
      </w:pPr>
      <w:r>
        <w:rPr>
          <w:rFonts w:ascii="Futura" w:hAnsi="Futura" w:eastAsia="Futura"/>
          <w:b w:val="0"/>
          <w:i w:val="0"/>
          <w:color w:val="000000"/>
          <w:sz w:val="14"/>
        </w:rPr>
        <w:t>10</w:t>
      </w:r>
      <w:r>
        <w:rPr>
          <w:rFonts w:ascii="Futura" w:hAnsi="Futura" w:eastAsia="Futura"/>
          <w:b w:val="0"/>
          <w:i w:val="0"/>
          <w:color w:val="00B5CC"/>
          <w:sz w:val="14"/>
        </w:rPr>
        <w:t xml:space="preserve">© 2010 Society for Human Resource Management. John W. Boudreau, Ph.D. </w:t>
      </w:r>
    </w:p>
    <w:p>
      <w:pPr>
        <w:sectPr>
          <w:pgSz w:w="12240" w:h="15840"/>
          <w:pgMar w:top="1264" w:right="1440" w:bottom="0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6"/>
        <w:ind w:left="0" w:right="0"/>
      </w:pPr>
    </w:p>
    <w:p>
      <w:pPr>
        <w:autoSpaceDN w:val="0"/>
        <w:autoSpaceDE w:val="0"/>
        <w:widowControl/>
        <w:spacing w:line="242" w:lineRule="exact" w:before="0" w:after="0"/>
        <w:ind w:left="10" w:right="0" w:firstLine="0"/>
        <w:jc w:val="left"/>
      </w:pPr>
      <w:r>
        <w:rPr>
          <w:rFonts w:ascii="AkzidenzGroteskBE" w:hAnsi="AkzidenzGroteskBE" w:eastAsia="AkzidenzGroteskBE"/>
          <w:b w:val="0"/>
          <w:i w:val="0"/>
          <w:color w:val="00B5CC"/>
          <w:sz w:val="20"/>
        </w:rPr>
        <w:t>The Vision of a Workforce Management Initiative (WMI) at IBM</w:t>
      </w:r>
    </w:p>
    <w:p>
      <w:pPr>
        <w:autoSpaceDN w:val="0"/>
        <w:autoSpaceDE w:val="0"/>
        <w:widowControl/>
        <w:spacing w:line="260" w:lineRule="exact" w:before="72" w:after="294"/>
        <w:ind w:left="10" w:right="3456" w:firstLine="0"/>
        <w:jc w:val="left"/>
      </w:pP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What would be the cornerstones of what might be called IBM’s Workforce </w:t>
      </w:r>
      <w:r>
        <w:br/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Management Initiative, or WMI? Randy consulted with several of his colleagues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both within and outside of HR and solicited input from a number of outside experts.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What they came up with is shown in the box below.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0470"/>
      </w:tblGrid>
      <w:tr>
        <w:trPr>
          <w:trHeight w:hRule="exact" w:val="9694"/>
        </w:trPr>
        <w:tc>
          <w:tcPr>
            <w:tcW w:type="dxa" w:w="6934"/>
            <w:tcBorders>
              <w:start w:sz="8.0" w:val="single" w:color="#00B5CC"/>
              <w:top w:sz="8.0" w:val="single" w:color="#00B5CC"/>
              <w:end w:sz="8.0" w:val="single" w:color="#00B5CC"/>
              <w:bottom w:sz="8.0" w:val="single" w:color="#00B5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28" w:after="0"/>
              <w:ind w:left="176" w:right="0" w:firstLine="0"/>
              <w:jc w:val="left"/>
            </w:pPr>
            <w:r>
              <w:rPr>
                <w:rFonts w:ascii="Futura" w:hAnsi="Futura" w:eastAsia="Futura"/>
                <w:b/>
                <w:i w:val="0"/>
                <w:color w:val="00B5CC"/>
                <w:sz w:val="19"/>
              </w:rPr>
              <w:t>Initial Vision of the IBM Workforce Management Initiative (WMI)</w:t>
            </w:r>
          </w:p>
          <w:p>
            <w:pPr>
              <w:autoSpaceDN w:val="0"/>
              <w:autoSpaceDE w:val="0"/>
              <w:widowControl/>
              <w:spacing w:line="280" w:lineRule="exact" w:before="186" w:after="0"/>
              <w:ind w:left="176" w:right="288" w:firstLine="0"/>
              <w:jc w:val="left"/>
            </w:pPr>
            <w:r>
              <w:rPr>
                <w:rFonts w:ascii="Futura" w:hAnsi="Futura" w:eastAsia="Futura"/>
                <w:b w:val="0"/>
                <w:i w:val="0"/>
                <w:color w:val="000000"/>
                <w:sz w:val="19"/>
              </w:rPr>
              <w:t xml:space="preserve">A cornerstone program that enables IBM’s globally integrated enterprise is the </w:t>
            </w:r>
            <w:r>
              <w:rPr>
                <w:rFonts w:ascii="Futura" w:hAnsi="Futura" w:eastAsia="Futura"/>
                <w:b w:val="0"/>
                <w:i w:val="0"/>
                <w:color w:val="000000"/>
                <w:sz w:val="19"/>
              </w:rPr>
              <w:t xml:space="preserve">Workforce Management Initiative, or WMI. As mentioned previously, moving the </w:t>
            </w:r>
            <w:r>
              <w:rPr>
                <w:rFonts w:ascii="Futura" w:hAnsi="Futura" w:eastAsia="Futura"/>
                <w:b w:val="0"/>
                <w:i w:val="0"/>
                <w:color w:val="000000"/>
                <w:sz w:val="19"/>
              </w:rPr>
              <w:t xml:space="preserve">right skills to opportunities is a critical response for business success in today’s </w:t>
            </w:r>
            <w:r>
              <w:rPr>
                <w:rFonts w:ascii="Futura" w:hAnsi="Futura" w:eastAsia="Futura"/>
                <w:b w:val="0"/>
                <w:i w:val="0"/>
                <w:color w:val="000000"/>
                <w:sz w:val="19"/>
              </w:rPr>
              <w:t>global economy. WMI is IBM’s response to this challenge.</w:t>
            </w:r>
          </w:p>
          <w:p>
            <w:pPr>
              <w:autoSpaceDN w:val="0"/>
              <w:autoSpaceDE w:val="0"/>
              <w:widowControl/>
              <w:spacing w:line="240" w:lineRule="exact" w:before="220" w:after="0"/>
              <w:ind w:left="176" w:right="0" w:firstLine="0"/>
              <w:jc w:val="left"/>
            </w:pPr>
            <w:r>
              <w:rPr>
                <w:rFonts w:ascii="Futura" w:hAnsi="Futura" w:eastAsia="Futura"/>
                <w:b w:val="0"/>
                <w:i w:val="0"/>
                <w:color w:val="000000"/>
                <w:sz w:val="19"/>
              </w:rPr>
              <w:t>By definition:</w:t>
            </w:r>
          </w:p>
          <w:p>
            <w:pPr>
              <w:autoSpaceDN w:val="0"/>
              <w:autoSpaceDE w:val="0"/>
              <w:widowControl/>
              <w:spacing w:line="280" w:lineRule="exact" w:before="180" w:after="0"/>
              <w:ind w:left="176" w:right="0" w:firstLine="0"/>
              <w:jc w:val="left"/>
            </w:pPr>
            <w:r>
              <w:rPr>
                <w:rFonts w:ascii="Futura" w:hAnsi="Futura" w:eastAsia="Futura"/>
                <w:b w:val="0"/>
                <w:i w:val="0"/>
                <w:color w:val="000000"/>
                <w:sz w:val="19"/>
              </w:rPr>
              <w:t xml:space="preserve">WMI addresses the labor-based business issue of managing resources effectively </w:t>
            </w:r>
            <w:r>
              <w:rPr>
                <w:rFonts w:ascii="Futura" w:hAnsi="Futura" w:eastAsia="Futura"/>
                <w:b w:val="0"/>
                <w:i w:val="0"/>
                <w:color w:val="000000"/>
                <w:sz w:val="19"/>
              </w:rPr>
              <w:t xml:space="preserve">and seamlessly across business units and geographic borders. This is accomplished </w:t>
            </w:r>
            <w:r>
              <w:rPr>
                <w:rFonts w:ascii="Futura" w:hAnsi="Futura" w:eastAsia="Futura"/>
                <w:b w:val="0"/>
                <w:i w:val="0"/>
                <w:color w:val="000000"/>
                <w:sz w:val="19"/>
              </w:rPr>
              <w:t xml:space="preserve">through an integrated set of processes and supporting tools designed and deployed </w:t>
            </w:r>
            <w:r>
              <w:rPr>
                <w:rFonts w:ascii="Futura" w:hAnsi="Futura" w:eastAsia="Futura"/>
                <w:b w:val="0"/>
                <w:i w:val="0"/>
                <w:color w:val="000000"/>
                <w:sz w:val="19"/>
              </w:rPr>
              <w:t>to make IBM’s workforce management effective, efficient and competitive.</w:t>
            </w:r>
          </w:p>
          <w:p>
            <w:pPr>
              <w:autoSpaceDN w:val="0"/>
              <w:autoSpaceDE w:val="0"/>
              <w:widowControl/>
              <w:spacing w:line="280" w:lineRule="exact" w:before="180" w:after="0"/>
              <w:ind w:left="176" w:right="144" w:firstLine="0"/>
              <w:jc w:val="left"/>
            </w:pPr>
            <w:r>
              <w:rPr>
                <w:rFonts w:ascii="Futura" w:hAnsi="Futura" w:eastAsia="Futura"/>
                <w:b w:val="0"/>
                <w:i w:val="0"/>
                <w:color w:val="000000"/>
                <w:sz w:val="19"/>
              </w:rPr>
              <w:t xml:space="preserve">At its core, WMI is a series of strategies, policies, processes and tools that enable </w:t>
            </w:r>
            <w:r>
              <w:rPr>
                <w:rFonts w:ascii="Futura" w:hAnsi="Futura" w:eastAsia="Futura"/>
                <w:b w:val="0"/>
                <w:i w:val="0"/>
                <w:color w:val="000000"/>
                <w:sz w:val="19"/>
              </w:rPr>
              <w:t>optimal labor deployment, built on a foundation of learning.</w:t>
            </w:r>
          </w:p>
          <w:p>
            <w:pPr>
              <w:autoSpaceDN w:val="0"/>
              <w:autoSpaceDE w:val="0"/>
              <w:widowControl/>
              <w:spacing w:line="242" w:lineRule="exact" w:before="218" w:after="0"/>
              <w:ind w:left="176" w:right="0" w:firstLine="0"/>
              <w:jc w:val="left"/>
            </w:pPr>
            <w:r>
              <w:rPr>
                <w:rFonts w:ascii="Futura" w:hAnsi="Futura" w:eastAsia="Futura"/>
                <w:b w:val="0"/>
                <w:i w:val="0"/>
                <w:color w:val="000000"/>
                <w:sz w:val="19"/>
              </w:rPr>
              <w:t>What does WMI do?</w:t>
            </w:r>
          </w:p>
          <w:p>
            <w:pPr>
              <w:autoSpaceDN w:val="0"/>
              <w:autoSpaceDE w:val="0"/>
              <w:widowControl/>
              <w:spacing w:line="280" w:lineRule="exact" w:before="180" w:after="0"/>
              <w:ind w:left="176" w:right="0" w:firstLine="0"/>
              <w:jc w:val="left"/>
            </w:pPr>
            <w:r>
              <w:rPr>
                <w:rFonts w:ascii="Futura" w:hAnsi="Futura" w:eastAsia="Futura"/>
                <w:b w:val="0"/>
                <w:i w:val="0"/>
                <w:color w:val="000000"/>
                <w:sz w:val="19"/>
              </w:rPr>
              <w:t xml:space="preserve">WMI enables the optimal workforce strategy and integrated supply chain for human </w:t>
            </w:r>
            <w:r>
              <w:rPr>
                <w:rFonts w:ascii="Futura" w:hAnsi="Futura" w:eastAsia="Futura"/>
                <w:b w:val="0"/>
                <w:i w:val="0"/>
                <w:color w:val="000000"/>
                <w:sz w:val="19"/>
              </w:rPr>
              <w:t>resource and talent management.</w:t>
            </w:r>
          </w:p>
          <w:p>
            <w:pPr>
              <w:autoSpaceDN w:val="0"/>
              <w:autoSpaceDE w:val="0"/>
              <w:widowControl/>
              <w:spacing w:line="280" w:lineRule="exact" w:before="180" w:after="0"/>
              <w:ind w:left="176" w:right="288" w:firstLine="0"/>
              <w:jc w:val="left"/>
            </w:pPr>
            <w:r>
              <w:rPr>
                <w:rFonts w:ascii="Futura" w:hAnsi="Futura" w:eastAsia="Futura"/>
                <w:b w:val="0"/>
                <w:i w:val="0"/>
                <w:color w:val="000000"/>
                <w:sz w:val="19"/>
              </w:rPr>
              <w:t xml:space="preserve">IBM’s workforce management initiative acknowledges that workforce optimization </w:t>
            </w:r>
            <w:r>
              <w:rPr>
                <w:rFonts w:ascii="Futura" w:hAnsi="Futura" w:eastAsia="Futura"/>
                <w:b w:val="0"/>
                <w:i w:val="0"/>
                <w:color w:val="000000"/>
                <w:sz w:val="19"/>
              </w:rPr>
              <w:t>requires linkages of key disciplines:</w:t>
            </w:r>
          </w:p>
          <w:p>
            <w:pPr>
              <w:autoSpaceDN w:val="0"/>
              <w:tabs>
                <w:tab w:pos="396" w:val="left"/>
              </w:tabs>
              <w:autoSpaceDE w:val="0"/>
              <w:widowControl/>
              <w:spacing w:line="280" w:lineRule="exact" w:before="180" w:after="0"/>
              <w:ind w:left="176" w:right="432" w:firstLine="0"/>
              <w:jc w:val="left"/>
            </w:pPr>
            <w:r>
              <w:rPr>
                <w:rFonts w:ascii="Futura" w:hAnsi="Futura" w:eastAsia="Futura"/>
                <w:b w:val="0"/>
                <w:i w:val="0"/>
                <w:color w:val="000000"/>
                <w:sz w:val="19"/>
              </w:rPr>
              <w:t xml:space="preserve">1. </w:t>
            </w:r>
            <w:r>
              <w:rPr>
                <w:rFonts w:ascii="Futura" w:hAnsi="Futura" w:eastAsia="Futura"/>
                <w:b/>
                <w:i w:val="0"/>
                <w:color w:val="000000"/>
                <w:sz w:val="19"/>
              </w:rPr>
              <w:t>Resource management</w:t>
            </w:r>
            <w:r>
              <w:rPr>
                <w:rFonts w:ascii="Futura" w:hAnsi="Futura" w:eastAsia="Futura"/>
                <w:b w:val="0"/>
                <w:i w:val="0"/>
                <w:color w:val="000000"/>
                <w:sz w:val="19"/>
              </w:rPr>
              <w:t xml:space="preserve"> requires accurate inventory of skills and talent, </w:t>
            </w:r>
            <w:r>
              <w:tab/>
            </w:r>
            <w:r>
              <w:rPr>
                <w:rFonts w:ascii="Futura" w:hAnsi="Futura" w:eastAsia="Futura"/>
                <w:b w:val="0"/>
                <w:i w:val="0"/>
                <w:color w:val="000000"/>
                <w:sz w:val="19"/>
              </w:rPr>
              <w:t>demand forecast, capacity planning and workforce rebalancing.</w:t>
            </w:r>
          </w:p>
          <w:p>
            <w:pPr>
              <w:autoSpaceDN w:val="0"/>
              <w:tabs>
                <w:tab w:pos="396" w:val="left"/>
              </w:tabs>
              <w:autoSpaceDE w:val="0"/>
              <w:widowControl/>
              <w:spacing w:line="280" w:lineRule="exact" w:before="180" w:after="0"/>
              <w:ind w:left="176" w:right="288" w:firstLine="0"/>
              <w:jc w:val="left"/>
            </w:pPr>
            <w:r>
              <w:rPr>
                <w:rFonts w:ascii="Futura" w:hAnsi="Futura" w:eastAsia="Futura"/>
                <w:b w:val="0"/>
                <w:i w:val="0"/>
                <w:color w:val="000000"/>
                <w:sz w:val="19"/>
              </w:rPr>
              <w:t xml:space="preserve">2. </w:t>
            </w:r>
            <w:r>
              <w:rPr>
                <w:rFonts w:ascii="Futura" w:hAnsi="Futura" w:eastAsia="Futura"/>
                <w:b/>
                <w:i w:val="0"/>
                <w:color w:val="000000"/>
                <w:sz w:val="19"/>
              </w:rPr>
              <w:t>Talent and mobility</w:t>
            </w:r>
            <w:r>
              <w:rPr>
                <w:rFonts w:ascii="Futura" w:hAnsi="Futura" w:eastAsia="Futura"/>
                <w:b w:val="0"/>
                <w:i w:val="0"/>
                <w:color w:val="000000"/>
                <w:sz w:val="19"/>
              </w:rPr>
              <w:t xml:space="preserve"> requires a common taxonomy, common profiles for all </w:t>
            </w:r>
            <w:r>
              <w:tab/>
            </w:r>
            <w:r>
              <w:rPr>
                <w:rFonts w:ascii="Futura" w:hAnsi="Futura" w:eastAsia="Futura"/>
                <w:b w:val="0"/>
                <w:i w:val="0"/>
                <w:color w:val="000000"/>
                <w:sz w:val="19"/>
              </w:rPr>
              <w:t>sources of labor, decision support.</w:t>
            </w:r>
          </w:p>
          <w:p>
            <w:pPr>
              <w:autoSpaceDN w:val="0"/>
              <w:autoSpaceDE w:val="0"/>
              <w:widowControl/>
              <w:spacing w:line="280" w:lineRule="exact" w:before="180" w:after="0"/>
              <w:ind w:left="394" w:right="576" w:hanging="218"/>
              <w:jc w:val="left"/>
            </w:pPr>
            <w:r>
              <w:rPr>
                <w:rFonts w:ascii="Futura" w:hAnsi="Futura" w:eastAsia="Futura"/>
                <w:b w:val="0"/>
                <w:i w:val="0"/>
                <w:color w:val="000000"/>
                <w:sz w:val="19"/>
              </w:rPr>
              <w:t xml:space="preserve">3. </w:t>
            </w:r>
            <w:r>
              <w:rPr>
                <w:rFonts w:ascii="Futura" w:hAnsi="Futura" w:eastAsia="Futura"/>
                <w:b/>
                <w:i w:val="0"/>
                <w:color w:val="000000"/>
                <w:sz w:val="19"/>
              </w:rPr>
              <w:t>Learning</w:t>
            </w:r>
            <w:r>
              <w:rPr>
                <w:rFonts w:ascii="Futura" w:hAnsi="Futura" w:eastAsia="Futura"/>
                <w:b w:val="0"/>
                <w:i w:val="0"/>
                <w:color w:val="000000"/>
                <w:sz w:val="19"/>
              </w:rPr>
              <w:t xml:space="preserve"> requires tight alignment to business objectives, accurate skill </w:t>
            </w:r>
            <w:r>
              <w:rPr>
                <w:rFonts w:ascii="Futura" w:hAnsi="Futura" w:eastAsia="Futura"/>
                <w:b w:val="0"/>
                <w:i w:val="0"/>
                <w:color w:val="000000"/>
                <w:sz w:val="19"/>
              </w:rPr>
              <w:t xml:space="preserve">assessments, skills gap management and alignment with skills development </w:t>
            </w:r>
            <w:r>
              <w:rPr>
                <w:rFonts w:ascii="Futura" w:hAnsi="Futura" w:eastAsia="Futura"/>
                <w:b w:val="0"/>
                <w:i w:val="0"/>
                <w:color w:val="000000"/>
                <w:sz w:val="19"/>
              </w:rPr>
              <w:t>systems and programs.</w:t>
            </w:r>
          </w:p>
          <w:p>
            <w:pPr>
              <w:autoSpaceDN w:val="0"/>
              <w:tabs>
                <w:tab w:pos="394" w:val="left"/>
              </w:tabs>
              <w:autoSpaceDE w:val="0"/>
              <w:widowControl/>
              <w:spacing w:line="280" w:lineRule="exact" w:before="180" w:after="0"/>
              <w:ind w:left="174" w:right="144" w:firstLine="0"/>
              <w:jc w:val="left"/>
            </w:pPr>
            <w:r>
              <w:rPr>
                <w:rFonts w:ascii="Futura" w:hAnsi="Futura" w:eastAsia="Futura"/>
                <w:b w:val="0"/>
                <w:i w:val="0"/>
                <w:color w:val="000000"/>
                <w:sz w:val="19"/>
              </w:rPr>
              <w:t xml:space="preserve">4. </w:t>
            </w:r>
            <w:r>
              <w:rPr>
                <w:rFonts w:ascii="Futura" w:hAnsi="Futura" w:eastAsia="Futura"/>
                <w:b/>
                <w:i w:val="0"/>
                <w:color w:val="000000"/>
                <w:sz w:val="19"/>
              </w:rPr>
              <w:t>Supplier or vendor management</w:t>
            </w:r>
            <w:r>
              <w:rPr>
                <w:rFonts w:ascii="Futura" w:hAnsi="Futura" w:eastAsia="Futura"/>
                <w:b w:val="0"/>
                <w:i w:val="0"/>
                <w:color w:val="000000"/>
                <w:sz w:val="19"/>
              </w:rPr>
              <w:t xml:space="preserve"> requires supplier strategy aligned with </w:t>
            </w:r>
            <w:r>
              <w:tab/>
            </w:r>
            <w:r>
              <w:rPr>
                <w:rFonts w:ascii="Futura" w:hAnsi="Futura" w:eastAsia="Futura"/>
                <w:b w:val="0"/>
                <w:i w:val="0"/>
                <w:color w:val="000000"/>
                <w:sz w:val="19"/>
              </w:rPr>
              <w:t>resource management strategy.</w:t>
            </w:r>
          </w:p>
        </w:tc>
      </w:tr>
    </w:tbl>
    <w:p>
      <w:pPr>
        <w:autoSpaceDN w:val="0"/>
        <w:autoSpaceDE w:val="0"/>
        <w:widowControl/>
        <w:spacing w:line="182" w:lineRule="exact" w:before="1200" w:after="0"/>
        <w:ind w:left="0" w:right="122" w:firstLine="0"/>
        <w:jc w:val="right"/>
      </w:pPr>
      <w:r>
        <w:rPr>
          <w:rFonts w:ascii="Futura" w:hAnsi="Futura" w:eastAsia="Futura"/>
          <w:b w:val="0"/>
          <w:i w:val="0"/>
          <w:color w:val="00B5CC"/>
          <w:sz w:val="14"/>
        </w:rPr>
        <w:t xml:space="preserve">© 2010 Society for Human Resource Management. John W. Boudreau, Ph.D.  </w:t>
      </w:r>
      <w:r>
        <w:rPr>
          <w:rFonts w:ascii="Futura" w:hAnsi="Futura" w:eastAsia="Futura"/>
          <w:b w:val="0"/>
          <w:i w:val="0"/>
          <w:color w:val="000000"/>
          <w:sz w:val="14"/>
        </w:rPr>
        <w:t>11</w:t>
      </w:r>
    </w:p>
    <w:p>
      <w:pPr>
        <w:sectPr>
          <w:pgSz w:w="12240" w:h="15840"/>
          <w:pgMar w:top="1264" w:right="700" w:bottom="0" w:left="10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6"/>
        <w:ind w:left="0" w:right="0"/>
      </w:pPr>
    </w:p>
    <w:p>
      <w:pPr>
        <w:autoSpaceDN w:val="0"/>
        <w:autoSpaceDE w:val="0"/>
        <w:widowControl/>
        <w:spacing w:line="242" w:lineRule="exact" w:before="0" w:after="0"/>
        <w:ind w:left="360" w:right="0" w:firstLine="0"/>
        <w:jc w:val="left"/>
      </w:pPr>
      <w:r>
        <w:rPr>
          <w:rFonts w:ascii="AkzidenzGroteskBE" w:hAnsi="AkzidenzGroteskBE" w:eastAsia="AkzidenzGroteskBE"/>
          <w:b w:val="0"/>
          <w:i w:val="0"/>
          <w:color w:val="00B5CC"/>
          <w:sz w:val="20"/>
        </w:rPr>
        <w:t>Thorny Dilemmas: Getting Beyond the Concept to the Reality</w:t>
      </w:r>
    </w:p>
    <w:p>
      <w:pPr>
        <w:autoSpaceDN w:val="0"/>
        <w:autoSpaceDE w:val="0"/>
        <w:widowControl/>
        <w:spacing w:line="260" w:lineRule="exact" w:before="72" w:after="0"/>
        <w:ind w:left="360" w:right="2880" w:firstLine="0"/>
        <w:jc w:val="left"/>
      </w:pP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The vision of the WMI was well-received … in concept. IBM leaders and the IBM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HR team could see the value and the clear connection to IBM’s strategic, business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and talent dilemmas. If they could pull it off, a working version of such a system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might be truly revolutionary. However, it was presently just a concept. Randy knew </w:t>
      </w:r>
      <w:r>
        <w:rPr>
          <w:rFonts w:ascii="Galliard" w:hAnsi="Galliard" w:eastAsia="Galliard"/>
          <w:b w:val="0"/>
          <w:i w:val="0"/>
          <w:color w:val="000000"/>
          <w:sz w:val="19"/>
        </w:rPr>
        <w:t>that the devil would be in the details. In particular, he pondered these dilemmas:</w:t>
      </w:r>
    </w:p>
    <w:p>
      <w:pPr>
        <w:autoSpaceDN w:val="0"/>
        <w:autoSpaceDE w:val="0"/>
        <w:widowControl/>
        <w:spacing w:line="260" w:lineRule="exact" w:before="146" w:after="0"/>
        <w:ind w:left="504" w:right="2736" w:hanging="144"/>
        <w:jc w:val="left"/>
      </w:pPr>
      <w:r>
        <w:rPr>
          <w:rFonts w:ascii="MonotypeSorts" w:hAnsi="MonotypeSorts" w:eastAsia="MonotypeSorts"/>
          <w:b w:val="0"/>
          <w:i w:val="0"/>
          <w:color w:val="000000"/>
          <w:sz w:val="10"/>
        </w:rPr>
        <w:t>n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How much was this really worth? What was the right level of investment, and how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could they demonstrate the value of what would undoubtedly be a very significant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investment? The HR team anticipated that the full investment might be more than </w:t>
      </w:r>
      <w:r>
        <w:rPr>
          <w:rFonts w:ascii="Galliard" w:hAnsi="Galliard" w:eastAsia="Galliard"/>
          <w:b w:val="0"/>
          <w:i w:val="0"/>
          <w:color w:val="000000"/>
          <w:sz w:val="19"/>
        </w:rPr>
        <w:t>US$100 million over the course of five years.</w:t>
      </w:r>
    </w:p>
    <w:p>
      <w:pPr>
        <w:autoSpaceDN w:val="0"/>
        <w:autoSpaceDE w:val="0"/>
        <w:widowControl/>
        <w:spacing w:line="260" w:lineRule="exact" w:before="146" w:after="0"/>
        <w:ind w:left="504" w:right="3024" w:hanging="144"/>
        <w:jc w:val="left"/>
      </w:pPr>
      <w:r>
        <w:rPr>
          <w:rFonts w:ascii="MonotypeSorts" w:hAnsi="MonotypeSorts" w:eastAsia="MonotypeSorts"/>
          <w:b w:val="0"/>
          <w:i w:val="0"/>
          <w:color w:val="000000"/>
          <w:sz w:val="10"/>
        </w:rPr>
        <w:t>n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Change-management theory would suggest that one way to get traction on the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larger goal of a fully comprehensive system, transparent to all, would be to start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where the payoff is likely to be the greatest. Where was the largest and most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tangible payoff likely to be? Would that be in the arena of full-time employees,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contractors or applicants? Should the team concentrate on building a system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focused on the area of the greatest return first and use that as a way to convince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folks to go further? Or, should they create a system that was designed from the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beginning to integrate all three talent arenas? </w:t>
      </w:r>
    </w:p>
    <w:p>
      <w:pPr>
        <w:autoSpaceDN w:val="0"/>
        <w:autoSpaceDE w:val="0"/>
        <w:widowControl/>
        <w:spacing w:line="234" w:lineRule="exact" w:before="172" w:after="0"/>
        <w:ind w:left="360" w:right="0" w:firstLine="0"/>
        <w:jc w:val="left"/>
      </w:pPr>
      <w:r>
        <w:rPr>
          <w:rFonts w:ascii="MonotypeSorts" w:hAnsi="MonotypeSorts" w:eastAsia="MonotypeSorts"/>
          <w:b w:val="0"/>
          <w:i w:val="0"/>
          <w:color w:val="000000"/>
          <w:sz w:val="10"/>
        </w:rPr>
        <w:t>n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How comprehensively should the system cover IBM’s different business segments? </w:t>
      </w:r>
    </w:p>
    <w:p>
      <w:pPr>
        <w:autoSpaceDN w:val="0"/>
        <w:autoSpaceDE w:val="0"/>
        <w:widowControl/>
        <w:spacing w:line="260" w:lineRule="exact" w:before="0" w:after="0"/>
        <w:ind w:left="504" w:right="2736" w:firstLine="0"/>
        <w:jc w:val="left"/>
      </w:pP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For example, should it focus only on one business segment, such as consulting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services, where there was arguably a much greater body of experience in defining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billable skills, tracking billable hours, and a culture and employee group that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readily accepted the requirement to move frequently and be ready to deploy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when client needs dictated? Of course, the broad challenge was to address </w:t>
      </w:r>
      <w:r>
        <w:br/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the talent-based equivalent of managing all types of resources effectively and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seamlessly across all business units globally. The overall objective of WMI was to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transform the manner in which IBM managed its most important asset—human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resources—in support of a globally integrated enterprise. The Services business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units were more focused on effective utilization of their resources, but other IBM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business units could conceivably derive considerable benefits through consistently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understanding their resource skills and needs, both current and future, for more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effective business analysis, planning and productivity. For example, the Services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business would certainly benefit from training investments driven by forecasted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shortages based on one common Expertise Taxonomy worldwide, but so could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other IBM businesses. Might the new system be deployed in modules, so that units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might use some of the tools for capturing résumé or training information, even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if they didn’t use the full system to manage their internal talent? How quickly or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slowly should the system be deployed to ensure that it achieved the benefits of a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comprehensive look at the full workforce? </w:t>
      </w:r>
    </w:p>
    <w:p>
      <w:pPr>
        <w:autoSpaceDN w:val="0"/>
        <w:autoSpaceDE w:val="0"/>
        <w:widowControl/>
        <w:spacing w:line="182" w:lineRule="exact" w:before="1936" w:after="0"/>
        <w:ind w:left="112" w:right="0" w:firstLine="0"/>
        <w:jc w:val="left"/>
      </w:pPr>
      <w:r>
        <w:rPr>
          <w:rFonts w:ascii="Futura" w:hAnsi="Futura" w:eastAsia="Futura"/>
          <w:b w:val="0"/>
          <w:i w:val="0"/>
          <w:color w:val="000000"/>
          <w:sz w:val="14"/>
        </w:rPr>
        <w:t>12</w:t>
      </w:r>
      <w:r>
        <w:rPr>
          <w:rFonts w:ascii="Futura" w:hAnsi="Futura" w:eastAsia="Futura"/>
          <w:b w:val="0"/>
          <w:i w:val="0"/>
          <w:color w:val="00B5CC"/>
          <w:sz w:val="14"/>
        </w:rPr>
        <w:t xml:space="preserve">© 2010 Society for Human Resource Management. John W. Boudreau, Ph.D. </w:t>
      </w:r>
    </w:p>
    <w:p>
      <w:pPr>
        <w:sectPr>
          <w:pgSz w:w="12240" w:h="15840"/>
          <w:pgMar w:top="1264" w:right="1440" w:bottom="0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6"/>
        <w:ind w:left="0" w:right="0"/>
      </w:pPr>
    </w:p>
    <w:p>
      <w:pPr>
        <w:autoSpaceDN w:val="0"/>
        <w:autoSpaceDE w:val="0"/>
        <w:widowControl/>
        <w:spacing w:line="258" w:lineRule="exact" w:before="0" w:after="0"/>
        <w:ind w:left="144" w:right="3456" w:hanging="144"/>
        <w:jc w:val="left"/>
      </w:pPr>
      <w:r>
        <w:rPr>
          <w:rFonts w:ascii="MonotypeSorts" w:hAnsi="MonotypeSorts" w:eastAsia="MonotypeSorts"/>
          <w:b w:val="0"/>
          <w:i w:val="0"/>
          <w:color w:val="000000"/>
          <w:sz w:val="10"/>
        </w:rPr>
        <w:t>n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How much organizational traction could be gained by expressing the initiative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through a supply chain metaphor? Would the potential contribution of the new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system be better understood using the same analytics and measures that were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already well-accepted in the supply chain discipline? Certainly, one principle of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change management is to tap into the thinking frameworks or “mental models”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that are most familiar to your audience. Could a talent system really be described </w:t>
      </w:r>
      <w:r>
        <w:rPr>
          <w:rFonts w:ascii="Galliard" w:hAnsi="Galliard" w:eastAsia="Galliard"/>
          <w:b w:val="0"/>
          <w:i w:val="0"/>
          <w:color w:val="000000"/>
          <w:sz w:val="19"/>
        </w:rPr>
        <w:t>as a supply chain?</w:t>
      </w:r>
      <w:r>
        <w:rPr>
          <w:rFonts w:ascii="Galliard" w:hAnsi="Galliard" w:eastAsia="Galliard"/>
          <w:b w:val="0"/>
          <w:i w:val="0"/>
          <w:color w:val="000000"/>
          <w:sz w:val="11"/>
        </w:rPr>
        <w:t>11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 Or, was talent so different from goods and materials that the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WMI would need an entirely different logic of cost and value? If it required a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different logic, could IBM’s HR leaders really expect the organization to embrace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what might be perceived as “just another new HR model that’s not related to our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business models”? Should the team create a system that would focus mostly on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getting the utilization rates down? Would that criterion be enough to guide the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development of a sufficiently sophisticated talent system? If not, what other criteria </w:t>
      </w:r>
      <w:r>
        <w:rPr>
          <w:rFonts w:ascii="Galliard" w:hAnsi="Galliard" w:eastAsia="Galliard"/>
          <w:b w:val="0"/>
          <w:i w:val="0"/>
          <w:color w:val="000000"/>
          <w:sz w:val="19"/>
        </w:rPr>
        <w:t>should the team propose as their objectives and measures of success?</w:t>
      </w:r>
    </w:p>
    <w:p>
      <w:pPr>
        <w:autoSpaceDN w:val="0"/>
        <w:autoSpaceDE w:val="0"/>
        <w:widowControl/>
        <w:spacing w:line="260" w:lineRule="exact" w:before="144" w:after="0"/>
        <w:ind w:left="144" w:right="3456" w:hanging="144"/>
        <w:jc w:val="left"/>
      </w:pPr>
      <w:r>
        <w:rPr>
          <w:rFonts w:ascii="MonotypeSorts" w:hAnsi="MonotypeSorts" w:eastAsia="MonotypeSorts"/>
          <w:b w:val="0"/>
          <w:i w:val="0"/>
          <w:color w:val="000000"/>
          <w:sz w:val="10"/>
        </w:rPr>
        <w:t>n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Should the system be managed and maintained by HR or the line and employees?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HR was expensive but had expertise in work analysis and was likely more reliable.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Business leaders and employees were more expert on their particular work, would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be more motivated if they owned the content and were held accountable for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keeping information up to date. Certainly, the system could operate at a far lower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cost if much of the ongoing work was being done in the field, outside of the HR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function. The vision suggested that the system could be a natural and valuable part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of the way employees and managers updated their capabilities, defined the work,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related the work to client needs and business outcomes, and managed the employee </w:t>
      </w:r>
      <w:r>
        <w:rPr>
          <w:rFonts w:ascii="Galliard" w:hAnsi="Galliard" w:eastAsia="Galliard"/>
          <w:b w:val="0"/>
          <w:i w:val="0"/>
          <w:color w:val="000000"/>
          <w:sz w:val="19"/>
        </w:rPr>
        <w:t>development.</w:t>
      </w:r>
    </w:p>
    <w:p>
      <w:pPr>
        <w:autoSpaceDN w:val="0"/>
        <w:autoSpaceDE w:val="0"/>
        <w:widowControl/>
        <w:spacing w:line="260" w:lineRule="exact" w:before="144" w:after="0"/>
        <w:ind w:left="144" w:right="3456" w:hanging="144"/>
        <w:jc w:val="left"/>
      </w:pPr>
      <w:r>
        <w:rPr>
          <w:rFonts w:ascii="MonotypeSorts" w:hAnsi="MonotypeSorts" w:eastAsia="MonotypeSorts"/>
          <w:b w:val="0"/>
          <w:i w:val="0"/>
          <w:color w:val="000000"/>
          <w:sz w:val="10"/>
        </w:rPr>
        <w:t>n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Should the system be available and transparent to all IBMers and perhaps even to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IBM’s contractors and applicants, or should it be a tool primarily used by IBM’s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managers and leaders and their HR counterparts? Transparency would allow the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system to become a true internal labor market, and it would embody IBM’s values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of employee development. However, full availability and transparency carried risks. </w:t>
      </w:r>
    </w:p>
    <w:p>
      <w:pPr>
        <w:autoSpaceDN w:val="0"/>
        <w:autoSpaceDE w:val="0"/>
        <w:widowControl/>
        <w:spacing w:line="260" w:lineRule="exact" w:before="0" w:after="0"/>
        <w:ind w:left="144" w:right="3456" w:firstLine="0"/>
        <w:jc w:val="left"/>
      </w:pP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Managers might be faced with many more employee requests for a shot at open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positions or development opportunities, requiring the managers to explain why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employees were not deemed eligible. Transparency to IBM’s applicant pools and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contractors might reveal patterns that gave clues to IBM’s future strategic direction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(such as posting a large number of opportunities in certain regions or product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areas). A fully available and transparent system might collapse of its own weight as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hundreds of thousands of IBMers tried to modify it to fit what they considered to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be essential exceptions or special cases. </w:t>
      </w:r>
    </w:p>
    <w:p>
      <w:pPr>
        <w:autoSpaceDN w:val="0"/>
        <w:autoSpaceDE w:val="0"/>
        <w:widowControl/>
        <w:spacing w:line="260" w:lineRule="exact" w:before="144" w:after="0"/>
        <w:ind w:left="140" w:right="3456" w:firstLine="0"/>
        <w:jc w:val="left"/>
      </w:pP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A transparent system that could forecast and depict both IBM’s future talent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demand and also individual capabilities would encourage IBMers to see where the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system forecasted future demand and then make personal investments to prepare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themselves for those opportunities. Yet, the world was fast-changing. It seemed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quite likely that the system could not predict the future with perfect accuracy.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So, one result would be that the game might change, even after the talent system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predicted that certain development paths would hold true for years and were worth </w:t>
      </w:r>
    </w:p>
    <w:p>
      <w:pPr>
        <w:autoSpaceDN w:val="0"/>
        <w:autoSpaceDE w:val="0"/>
        <w:widowControl/>
        <w:spacing w:line="182" w:lineRule="exact" w:before="718" w:after="0"/>
        <w:ind w:left="0" w:right="122" w:firstLine="0"/>
        <w:jc w:val="right"/>
      </w:pPr>
      <w:r>
        <w:rPr>
          <w:rFonts w:ascii="Futura" w:hAnsi="Futura" w:eastAsia="Futura"/>
          <w:b w:val="0"/>
          <w:i w:val="0"/>
          <w:color w:val="00B5CC"/>
          <w:sz w:val="14"/>
        </w:rPr>
        <w:t xml:space="preserve">© 2010 Society for Human Resource Management. John W. Boudreau, Ph.D.  </w:t>
      </w:r>
      <w:r>
        <w:rPr>
          <w:rFonts w:ascii="Futura" w:hAnsi="Futura" w:eastAsia="Futura"/>
          <w:b w:val="0"/>
          <w:i w:val="0"/>
          <w:color w:val="000000"/>
          <w:sz w:val="14"/>
        </w:rPr>
        <w:t>13</w:t>
      </w:r>
    </w:p>
    <w:p>
      <w:pPr>
        <w:sectPr>
          <w:pgSz w:w="12240" w:h="15840"/>
          <w:pgMar w:top="1264" w:right="700" w:bottom="0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6"/>
        <w:ind w:left="0" w:right="0"/>
      </w:pPr>
    </w:p>
    <w:p>
      <w:pPr>
        <w:autoSpaceDN w:val="0"/>
        <w:autoSpaceDE w:val="0"/>
        <w:widowControl/>
        <w:spacing w:line="252" w:lineRule="exact" w:before="0" w:after="0"/>
        <w:ind w:left="500" w:right="3024" w:firstLine="0"/>
        <w:jc w:val="left"/>
      </w:pP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a multi-year investment. What could IBM tell employees who made significant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personal investments in development opportunities lasting several years, only to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discover after a year or two that the role they were preparing for was no longer </w:t>
      </w:r>
      <w:r>
        <w:rPr>
          <w:rFonts w:ascii="Galliard" w:hAnsi="Galliard" w:eastAsia="Galliard"/>
          <w:b w:val="0"/>
          <w:i w:val="0"/>
          <w:color w:val="000000"/>
          <w:sz w:val="19"/>
        </w:rPr>
        <w:t>relevant or had changed substantially?</w:t>
      </w:r>
    </w:p>
    <w:p>
      <w:pPr>
        <w:autoSpaceDN w:val="0"/>
        <w:autoSpaceDE w:val="0"/>
        <w:widowControl/>
        <w:spacing w:line="260" w:lineRule="exact" w:before="144" w:after="0"/>
        <w:ind w:left="500" w:right="2880" w:firstLine="0"/>
        <w:jc w:val="left"/>
      </w:pP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Indeed, “be careful what you wish for” was on the minds of the HR team, for if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IBM could create a system that was so compelling and transparent and engage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its entire talent pool to use that system as a clear indicator of the ebb and flow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of opportunities, the resulting volume of transactions, administration and user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support might easily swamp any reasonable-sized HR support organization,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dooming the system to failure before it began. </w:t>
      </w:r>
    </w:p>
    <w:p>
      <w:pPr>
        <w:autoSpaceDN w:val="0"/>
        <w:autoSpaceDE w:val="0"/>
        <w:widowControl/>
        <w:spacing w:line="260" w:lineRule="exact" w:before="144" w:after="0"/>
        <w:ind w:left="504" w:right="2736" w:hanging="144"/>
        <w:jc w:val="left"/>
      </w:pPr>
      <w:r>
        <w:rPr>
          <w:rFonts w:ascii="MonotypeSorts" w:hAnsi="MonotypeSorts" w:eastAsia="MonotypeSorts"/>
          <w:b w:val="0"/>
          <w:i w:val="0"/>
          <w:color w:val="000000"/>
          <w:sz w:val="10"/>
        </w:rPr>
        <w:t>n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Perhaps the most vexing and fundamental dilemma facing the new system was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whether and how it could become a truly global talent management system. Even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if IBM’s HR leaders could solve the dilemmas above, they would still face some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daunting challenges in trying to make the system work across the many countries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and regions in which IBM operated. Different countries had very different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privacy standards with regard to allowing information about employees to cross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national borders. If Austria decided that it was not going to allow data about IBM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employees in the country to be shared outside the European Union, then how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could the system hope to give managers outside the EU a complete picture of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talent trends and availability? Should the system operate in one language or many? </w:t>
      </w:r>
    </w:p>
    <w:p>
      <w:pPr>
        <w:autoSpaceDN w:val="0"/>
        <w:autoSpaceDE w:val="0"/>
        <w:widowControl/>
        <w:spacing w:line="260" w:lineRule="exact" w:before="144" w:after="0"/>
        <w:ind w:left="504" w:right="2880" w:hanging="144"/>
        <w:jc w:val="left"/>
      </w:pPr>
      <w:r>
        <w:rPr>
          <w:rFonts w:ascii="MonotypeSorts" w:hAnsi="MonotypeSorts" w:eastAsia="MonotypeSorts"/>
          <w:b w:val="0"/>
          <w:i w:val="0"/>
          <w:color w:val="000000"/>
          <w:sz w:val="10"/>
        </w:rPr>
        <w:t>n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Would IBMers be willing enough to move across national borders? The issues of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inter-country mobility, expatriation or localization, tax treatment, remuneration,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portability of benefits, etc. were legendary challenges in making global workforce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movement work. For example, when IBM employees move from one country to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another, both countries expect IBM to withhold appropriate personal income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taxes. They expect IBM to figure out a system to do that. IBM had a long history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of managing through these challenges, but a truly global workforce management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initiative would multiply the volume and complexity of these decisions </w:t>
      </w:r>
      <w:r>
        <w:br/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significantly. </w:t>
      </w:r>
    </w:p>
    <w:p>
      <w:pPr>
        <w:autoSpaceDN w:val="0"/>
        <w:autoSpaceDE w:val="0"/>
        <w:widowControl/>
        <w:spacing w:line="244" w:lineRule="exact" w:before="378" w:after="0"/>
        <w:ind w:left="360" w:right="0" w:firstLine="0"/>
        <w:jc w:val="left"/>
      </w:pPr>
      <w:r>
        <w:rPr>
          <w:rFonts w:ascii="AkzidenzGroteskBE" w:hAnsi="AkzidenzGroteskBE" w:eastAsia="AkzidenzGroteskBE"/>
          <w:b w:val="0"/>
          <w:i w:val="0"/>
          <w:color w:val="00B5CC"/>
          <w:sz w:val="20"/>
        </w:rPr>
        <w:t>The Paradox</w:t>
      </w:r>
    </w:p>
    <w:p>
      <w:pPr>
        <w:autoSpaceDN w:val="0"/>
        <w:autoSpaceDE w:val="0"/>
        <w:widowControl/>
        <w:spacing w:line="260" w:lineRule="exact" w:before="70" w:after="0"/>
        <w:ind w:left="360" w:right="2736" w:firstLine="0"/>
        <w:jc w:val="left"/>
      </w:pP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Like so many great opportunities, this one carried significant risks and potential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payoffs. The HR leadership and many of IBM’s top business leaders believed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there were potentially billions of dollars in untapped shareholder value, immense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opportunities for current and future IBM employees, and a unique opportunity to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advance the practice of talent management and human resources if the WMI could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be successfully implemented. On the other hand, the history of such large-scale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talent management endeavors was rife with examples of systems that were never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really embraced by leaders and employees, failed to capture enough nuances about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the work to be very useful or collapsed of their own weight through administrative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complexity and high cost. Was the prudent decision to move ahead with a historical 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innovation, or to avoid starting down a path that had proven so difficult for others? </w:t>
      </w:r>
      <w:r>
        <w:rPr>
          <w:rFonts w:ascii="Galliard" w:hAnsi="Galliard" w:eastAsia="Galliard"/>
          <w:b w:val="0"/>
          <w:i w:val="0"/>
          <w:color w:val="000000"/>
          <w:sz w:val="19"/>
        </w:rPr>
        <w:t>On what basis should they make this historic decision?</w:t>
      </w:r>
    </w:p>
    <w:p>
      <w:pPr>
        <w:autoSpaceDN w:val="0"/>
        <w:autoSpaceDE w:val="0"/>
        <w:widowControl/>
        <w:spacing w:line="182" w:lineRule="exact" w:before="804" w:after="0"/>
        <w:ind w:left="112" w:right="0" w:firstLine="0"/>
        <w:jc w:val="left"/>
      </w:pPr>
      <w:r>
        <w:rPr>
          <w:rFonts w:ascii="Futura" w:hAnsi="Futura" w:eastAsia="Futura"/>
          <w:b w:val="0"/>
          <w:i w:val="0"/>
          <w:color w:val="000000"/>
          <w:sz w:val="14"/>
        </w:rPr>
        <w:t>14</w:t>
      </w:r>
      <w:r>
        <w:rPr>
          <w:rFonts w:ascii="Futura" w:hAnsi="Futura" w:eastAsia="Futura"/>
          <w:b w:val="0"/>
          <w:i w:val="0"/>
          <w:color w:val="00B5CC"/>
          <w:sz w:val="14"/>
        </w:rPr>
        <w:t xml:space="preserve">© 2010 Society for Human Resource Management. John W. Boudreau, Ph.D. </w:t>
      </w:r>
    </w:p>
    <w:p>
      <w:pPr>
        <w:sectPr>
          <w:pgSz w:w="12240" w:h="15840"/>
          <w:pgMar w:top="1264" w:right="1440" w:bottom="0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60"/>
        <w:ind w:left="0" w:right="0"/>
      </w:pPr>
    </w:p>
    <w:p>
      <w:pPr>
        <w:autoSpaceDN w:val="0"/>
        <w:autoSpaceDE w:val="0"/>
        <w:widowControl/>
        <w:spacing w:line="778" w:lineRule="exact" w:before="28" w:after="0"/>
        <w:ind w:left="1080" w:right="0" w:firstLine="0"/>
        <w:jc w:val="left"/>
      </w:pPr>
      <w:r>
        <w:rPr>
          <w:rFonts w:ascii="Futura" w:hAnsi="Futura" w:eastAsia="Futura"/>
          <w:b w:val="0"/>
          <w:i w:val="0"/>
          <w:color w:val="00B5CC"/>
          <w:sz w:val="60"/>
        </w:rPr>
        <w:t>References and Endnotes</w:t>
      </w:r>
    </w:p>
    <w:p>
      <w:pPr>
        <w:autoSpaceDN w:val="0"/>
        <w:autoSpaceDE w:val="0"/>
        <w:widowControl/>
        <w:spacing w:line="258" w:lineRule="exact" w:before="896" w:after="0"/>
        <w:ind w:left="1080" w:right="4032" w:firstLine="0"/>
        <w:jc w:val="left"/>
      </w:pP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Boudreau, J. W., Ramstad, P. M. (2007). </w:t>
      </w:r>
      <w:r>
        <w:rPr>
          <w:rFonts w:ascii="Galliard" w:hAnsi="Galliard" w:eastAsia="Galliard"/>
          <w:b w:val="0"/>
          <w:i/>
          <w:color w:val="000000"/>
          <w:sz w:val="19"/>
        </w:rPr>
        <w:t>Beyond HR (chapters 6-9)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. Boston: </w:t>
      </w:r>
      <w:r>
        <w:rPr>
          <w:rFonts w:ascii="Galliard" w:hAnsi="Galliard" w:eastAsia="Galliard"/>
          <w:b w:val="0"/>
          <w:i w:val="0"/>
          <w:color w:val="000000"/>
          <w:sz w:val="19"/>
        </w:rPr>
        <w:t>Harvard Business School Press.</w:t>
      </w:r>
    </w:p>
    <w:p>
      <w:pPr>
        <w:autoSpaceDN w:val="0"/>
        <w:autoSpaceDE w:val="0"/>
        <w:widowControl/>
        <w:spacing w:line="232" w:lineRule="exact" w:before="172" w:after="0"/>
        <w:ind w:left="1080" w:right="0" w:firstLine="0"/>
        <w:jc w:val="left"/>
      </w:pP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Cascio, W. F., &amp; Boudreau, J. W. (2008). </w:t>
      </w:r>
      <w:r>
        <w:rPr>
          <w:rFonts w:ascii="Galliard" w:hAnsi="Galliard" w:eastAsia="Galliard"/>
          <w:b w:val="0"/>
          <w:i/>
          <w:color w:val="000000"/>
          <w:sz w:val="19"/>
        </w:rPr>
        <w:t>Investing in people.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 London, UK: Pearson.</w:t>
      </w:r>
    </w:p>
    <w:p>
      <w:pPr>
        <w:autoSpaceDN w:val="0"/>
        <w:autoSpaceDE w:val="0"/>
        <w:widowControl/>
        <w:spacing w:line="260" w:lineRule="exact" w:before="144" w:after="0"/>
        <w:ind w:left="1080" w:right="4032" w:firstLine="0"/>
        <w:jc w:val="left"/>
      </w:pP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Lawler, E. E., III, &amp; Boudreau, J. W. (2009). </w:t>
      </w:r>
      <w:r>
        <w:rPr>
          <w:rFonts w:ascii="Galliard" w:hAnsi="Galliard" w:eastAsia="Galliard"/>
          <w:b w:val="0"/>
          <w:i/>
          <w:color w:val="000000"/>
          <w:sz w:val="19"/>
        </w:rPr>
        <w:t xml:space="preserve">Achieving excellence in human </w:t>
      </w:r>
      <w:r>
        <w:rPr>
          <w:rFonts w:ascii="Galliard" w:hAnsi="Galliard" w:eastAsia="Galliard"/>
          <w:b w:val="0"/>
          <w:i/>
          <w:color w:val="000000"/>
          <w:sz w:val="19"/>
        </w:rPr>
        <w:t>resources management.</w:t>
      </w: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 Palo Alto: Stanford University Press.</w:t>
      </w:r>
    </w:p>
    <w:p>
      <w:pPr>
        <w:autoSpaceDN w:val="0"/>
        <w:autoSpaceDE w:val="0"/>
        <w:widowControl/>
        <w:spacing w:line="260" w:lineRule="exact" w:before="144" w:after="0"/>
        <w:ind w:left="1080" w:right="4032" w:firstLine="0"/>
        <w:jc w:val="left"/>
      </w:pPr>
      <w:r>
        <w:rPr>
          <w:rFonts w:ascii="Galliard" w:hAnsi="Galliard" w:eastAsia="Galliard"/>
          <w:b w:val="0"/>
          <w:i w:val="0"/>
          <w:color w:val="000000"/>
          <w:sz w:val="19"/>
        </w:rPr>
        <w:t xml:space="preserve">Ready, D., &amp; Conger, J. (2007, June 1). Make your company a talent factory. </w:t>
      </w:r>
      <w:r>
        <w:rPr>
          <w:rFonts w:ascii="Galliard" w:hAnsi="Galliard" w:eastAsia="Galliard"/>
          <w:b w:val="0"/>
          <w:i/>
          <w:color w:val="000000"/>
          <w:sz w:val="19"/>
        </w:rPr>
        <w:t>Harvard Business Review.</w:t>
      </w:r>
    </w:p>
    <w:p>
      <w:pPr>
        <w:autoSpaceDN w:val="0"/>
        <w:tabs>
          <w:tab w:pos="1390" w:val="left"/>
        </w:tabs>
        <w:autoSpaceDE w:val="0"/>
        <w:widowControl/>
        <w:spacing w:line="144" w:lineRule="exact" w:before="388" w:after="0"/>
        <w:ind w:left="1170" w:right="0" w:firstLine="0"/>
        <w:jc w:val="left"/>
      </w:pPr>
      <w:r>
        <w:rPr>
          <w:rFonts w:ascii="AkzidenzGroteskBE" w:hAnsi="AkzidenzGroteskBE" w:eastAsia="AkzidenzGroteskBE"/>
          <w:b w:val="0"/>
          <w:i w:val="0"/>
          <w:color w:val="000000"/>
          <w:sz w:val="12"/>
        </w:rPr>
        <w:t xml:space="preserve">1 </w:t>
      </w:r>
      <w:r>
        <w:tab/>
      </w:r>
      <w:r>
        <w:rPr>
          <w:rFonts w:ascii="AkzidenzGroteskBE" w:hAnsi="AkzidenzGroteskBE" w:eastAsia="AkzidenzGroteskBE"/>
          <w:b w:val="0"/>
          <w:i w:val="0"/>
          <w:color w:val="000000"/>
          <w:sz w:val="12"/>
        </w:rPr>
        <w:t xml:space="preserve">Palmisano, S. J. The globally integrated enterprise. </w:t>
      </w:r>
      <w:r>
        <w:rPr>
          <w:rFonts w:ascii="AkzidenzGroteskBE" w:hAnsi="AkzidenzGroteskBE" w:eastAsia="AkzidenzGroteskBE"/>
          <w:b w:val="0"/>
          <w:i/>
          <w:color w:val="000000"/>
          <w:sz w:val="12"/>
        </w:rPr>
        <w:t>Foreign Affairs</w:t>
      </w:r>
      <w:r>
        <w:rPr>
          <w:rFonts w:ascii="AkzidenzGroteskBE" w:hAnsi="AkzidenzGroteskBE" w:eastAsia="AkzidenzGroteskBE"/>
          <w:b w:val="0"/>
          <w:i w:val="0"/>
          <w:color w:val="000000"/>
          <w:sz w:val="12"/>
        </w:rPr>
        <w:t>, 85(3), 127-136.</w:t>
      </w:r>
    </w:p>
    <w:p>
      <w:pPr>
        <w:autoSpaceDN w:val="0"/>
        <w:tabs>
          <w:tab w:pos="1390" w:val="left"/>
        </w:tabs>
        <w:autoSpaceDE w:val="0"/>
        <w:widowControl/>
        <w:spacing w:line="144" w:lineRule="exact" w:before="60" w:after="0"/>
        <w:ind w:left="1170" w:right="0" w:firstLine="0"/>
        <w:jc w:val="left"/>
      </w:pPr>
      <w:r>
        <w:rPr>
          <w:rFonts w:ascii="AkzidenzGroteskBE" w:hAnsi="AkzidenzGroteskBE" w:eastAsia="AkzidenzGroteskBE"/>
          <w:b w:val="0"/>
          <w:i w:val="0"/>
          <w:color w:val="000000"/>
          <w:sz w:val="12"/>
        </w:rPr>
        <w:t xml:space="preserve">2 </w:t>
      </w:r>
      <w:r>
        <w:tab/>
      </w:r>
      <w:r>
        <w:rPr>
          <w:rFonts w:ascii="AkzidenzGroteskBE" w:hAnsi="AkzidenzGroteskBE" w:eastAsia="AkzidenzGroteskBE"/>
          <w:b w:val="0"/>
          <w:i w:val="0"/>
          <w:color w:val="000000"/>
          <w:sz w:val="12"/>
        </w:rPr>
        <w:t>Ibid.</w:t>
      </w:r>
    </w:p>
    <w:p>
      <w:pPr>
        <w:autoSpaceDN w:val="0"/>
        <w:tabs>
          <w:tab w:pos="1390" w:val="left"/>
        </w:tabs>
        <w:autoSpaceDE w:val="0"/>
        <w:widowControl/>
        <w:spacing w:line="144" w:lineRule="exact" w:before="60" w:after="0"/>
        <w:ind w:left="1170" w:right="0" w:firstLine="0"/>
        <w:jc w:val="left"/>
      </w:pPr>
      <w:r>
        <w:rPr>
          <w:rFonts w:ascii="AkzidenzGroteskBE" w:hAnsi="AkzidenzGroteskBE" w:eastAsia="AkzidenzGroteskBE"/>
          <w:b w:val="0"/>
          <w:i w:val="0"/>
          <w:color w:val="000000"/>
          <w:sz w:val="12"/>
        </w:rPr>
        <w:t xml:space="preserve">3 </w:t>
      </w:r>
      <w:r>
        <w:tab/>
      </w:r>
      <w:r>
        <w:rPr>
          <w:rFonts w:ascii="AkzidenzGroteskBE" w:hAnsi="AkzidenzGroteskBE" w:eastAsia="AkzidenzGroteskBE"/>
          <w:b w:val="0"/>
          <w:i w:val="0"/>
          <w:color w:val="000000"/>
          <w:sz w:val="12"/>
        </w:rPr>
        <w:t>Ibid. p. 129.</w:t>
      </w:r>
    </w:p>
    <w:p>
      <w:pPr>
        <w:autoSpaceDN w:val="0"/>
        <w:tabs>
          <w:tab w:pos="1390" w:val="left"/>
        </w:tabs>
        <w:autoSpaceDE w:val="0"/>
        <w:widowControl/>
        <w:spacing w:line="162" w:lineRule="exact" w:before="38" w:after="0"/>
        <w:ind w:left="1170" w:right="864" w:firstLine="0"/>
        <w:jc w:val="left"/>
      </w:pPr>
      <w:r>
        <w:rPr>
          <w:rFonts w:ascii="AkzidenzGroteskBE" w:hAnsi="AkzidenzGroteskBE" w:eastAsia="AkzidenzGroteskBE"/>
          <w:b w:val="0"/>
          <w:i w:val="0"/>
          <w:color w:val="000000"/>
          <w:sz w:val="12"/>
        </w:rPr>
        <w:t xml:space="preserve">4 </w:t>
      </w:r>
      <w:r>
        <w:tab/>
      </w:r>
      <w:r>
        <w:rPr>
          <w:rFonts w:ascii="AkzidenzGroteskBE" w:hAnsi="AkzidenzGroteskBE" w:eastAsia="AkzidenzGroteskBE"/>
          <w:b w:val="0"/>
          <w:i w:val="0"/>
          <w:color w:val="000000"/>
          <w:sz w:val="12"/>
        </w:rPr>
        <w:t xml:space="preserve">Lesser, Ringo &amp; Blumberg. (2007). </w:t>
      </w:r>
      <w:r>
        <w:rPr>
          <w:rFonts w:ascii="AkzidenzGroteskBE" w:hAnsi="AkzidenzGroteskBE" w:eastAsia="AkzidenzGroteskBE"/>
          <w:b w:val="0"/>
          <w:i/>
          <w:color w:val="000000"/>
          <w:sz w:val="12"/>
        </w:rPr>
        <w:t>Transforming the workforce: Seven keys to succeeding in a globally integrated world</w:t>
      </w:r>
      <w:r>
        <w:rPr>
          <w:rFonts w:ascii="AkzidenzGroteskBE" w:hAnsi="AkzidenzGroteskBE" w:eastAsia="AkzidenzGroteskBE"/>
          <w:b w:val="0"/>
          <w:i w:val="0"/>
          <w:color w:val="000000"/>
          <w:sz w:val="12"/>
        </w:rPr>
        <w:t xml:space="preserve"> (p. 3). Armonk, NY: IBM Institute for Business Value </w:t>
      </w:r>
      <w:r>
        <w:tab/>
      </w:r>
      <w:r>
        <w:rPr>
          <w:rFonts w:ascii="AkzidenzGroteskBE" w:hAnsi="AkzidenzGroteskBE" w:eastAsia="AkzidenzGroteskBE"/>
          <w:b w:val="0"/>
          <w:i w:val="0"/>
          <w:color w:val="000000"/>
          <w:sz w:val="12"/>
        </w:rPr>
        <w:t>Executive Brief.</w:t>
      </w:r>
    </w:p>
    <w:p>
      <w:pPr>
        <w:autoSpaceDN w:val="0"/>
        <w:tabs>
          <w:tab w:pos="1390" w:val="left"/>
        </w:tabs>
        <w:autoSpaceDE w:val="0"/>
        <w:widowControl/>
        <w:spacing w:line="144" w:lineRule="exact" w:before="60" w:after="0"/>
        <w:ind w:left="1170" w:right="0" w:firstLine="0"/>
        <w:jc w:val="left"/>
      </w:pPr>
      <w:r>
        <w:rPr>
          <w:rFonts w:ascii="AkzidenzGroteskBE" w:hAnsi="AkzidenzGroteskBE" w:eastAsia="AkzidenzGroteskBE"/>
          <w:b w:val="0"/>
          <w:i w:val="0"/>
          <w:color w:val="000000"/>
          <w:sz w:val="12"/>
        </w:rPr>
        <w:t xml:space="preserve">5 </w:t>
      </w:r>
      <w:r>
        <w:tab/>
      </w:r>
      <w:r>
        <w:rPr>
          <w:rFonts w:ascii="AkzidenzGroteskBE" w:hAnsi="AkzidenzGroteskBE" w:eastAsia="AkzidenzGroteskBE"/>
          <w:b w:val="0"/>
          <w:i w:val="0"/>
          <w:color w:val="000000"/>
          <w:sz w:val="12"/>
        </w:rPr>
        <w:t xml:space="preserve">Bartlett, C., &amp; McClean, A. (2006). </w:t>
      </w:r>
      <w:r>
        <w:rPr>
          <w:rFonts w:ascii="AkzidenzGroteskBE" w:hAnsi="AkzidenzGroteskBE" w:eastAsia="AkzidenzGroteskBE"/>
          <w:b w:val="0"/>
          <w:i/>
          <w:color w:val="000000"/>
          <w:sz w:val="12"/>
        </w:rPr>
        <w:t>GE’s Jeff Immelt: The voyage from MBA to CEO</w:t>
      </w:r>
      <w:r>
        <w:rPr>
          <w:rFonts w:ascii="AkzidenzGroteskBE" w:hAnsi="AkzidenzGroteskBE" w:eastAsia="AkzidenzGroteskBE"/>
          <w:b w:val="0"/>
          <w:i w:val="0"/>
          <w:color w:val="000000"/>
          <w:sz w:val="12"/>
        </w:rPr>
        <w:t xml:space="preserve">. Boston, MA: Harvard Business Publishing. </w:t>
      </w:r>
    </w:p>
    <w:p>
      <w:pPr>
        <w:autoSpaceDN w:val="0"/>
        <w:tabs>
          <w:tab w:pos="1390" w:val="left"/>
        </w:tabs>
        <w:autoSpaceDE w:val="0"/>
        <w:widowControl/>
        <w:spacing w:line="160" w:lineRule="exact" w:before="40" w:after="0"/>
        <w:ind w:left="1170" w:right="720" w:firstLine="0"/>
        <w:jc w:val="left"/>
      </w:pPr>
      <w:r>
        <w:rPr>
          <w:rFonts w:ascii="AkzidenzGroteskBE" w:hAnsi="AkzidenzGroteskBE" w:eastAsia="AkzidenzGroteskBE"/>
          <w:b w:val="0"/>
          <w:i w:val="0"/>
          <w:color w:val="000000"/>
          <w:sz w:val="12"/>
        </w:rPr>
        <w:t xml:space="preserve">6 </w:t>
      </w:r>
      <w:r>
        <w:tab/>
      </w:r>
      <w:r>
        <w:rPr>
          <w:rFonts w:ascii="AkzidenzGroteskBE" w:hAnsi="AkzidenzGroteskBE" w:eastAsia="AkzidenzGroteskBE"/>
          <w:b w:val="0"/>
          <w:i w:val="0"/>
          <w:color w:val="000000"/>
          <w:sz w:val="12"/>
        </w:rPr>
        <w:t xml:space="preserve">An excellent background reading for this case is: Applegate, L. M., Austin, R., &amp; Collins, E. (2009). </w:t>
      </w:r>
      <w:r>
        <w:rPr>
          <w:rFonts w:ascii="AkzidenzGroteskBE" w:hAnsi="AkzidenzGroteskBE" w:eastAsia="AkzidenzGroteskBE"/>
          <w:b w:val="0"/>
          <w:i/>
          <w:color w:val="000000"/>
          <w:sz w:val="12"/>
        </w:rPr>
        <w:t>IBM’s decade of transformation: Turnaround to growth.</w:t>
      </w:r>
      <w:r>
        <w:rPr>
          <w:rFonts w:ascii="AkzidenzGroteskBE" w:hAnsi="AkzidenzGroteskBE" w:eastAsia="AkzidenzGroteskBE"/>
          <w:b w:val="0"/>
          <w:i w:val="0"/>
          <w:color w:val="000000"/>
          <w:sz w:val="12"/>
        </w:rPr>
        <w:t xml:space="preserve"> Boston, MA: Harvard </w:t>
      </w:r>
      <w:r>
        <w:tab/>
      </w:r>
      <w:r>
        <w:rPr>
          <w:rFonts w:ascii="AkzidenzGroteskBE" w:hAnsi="AkzidenzGroteskBE" w:eastAsia="AkzidenzGroteskBE"/>
          <w:b w:val="0"/>
          <w:i w:val="0"/>
          <w:color w:val="000000"/>
          <w:sz w:val="12"/>
        </w:rPr>
        <w:t xml:space="preserve">Business School. Other sources include: Austin, R., &amp; Nolan R. (2000, Mar 14). </w:t>
      </w:r>
      <w:r>
        <w:rPr>
          <w:rFonts w:ascii="AkzidenzGroteskBE" w:hAnsi="AkzidenzGroteskBE" w:eastAsia="AkzidenzGroteskBE"/>
          <w:b w:val="0"/>
          <w:i/>
          <w:color w:val="000000"/>
          <w:sz w:val="12"/>
        </w:rPr>
        <w:t>IBM Corp. turnaround.</w:t>
      </w:r>
      <w:r>
        <w:rPr>
          <w:rFonts w:ascii="AkzidenzGroteskBE" w:hAnsi="AkzidenzGroteskBE" w:eastAsia="AkzidenzGroteskBE"/>
          <w:b w:val="0"/>
          <w:i w:val="0"/>
          <w:color w:val="000000"/>
          <w:sz w:val="12"/>
        </w:rPr>
        <w:t xml:space="preserve"> Boston, MA: Harvard Business Publishing. Maney, K. (2003). </w:t>
      </w:r>
      <w:r>
        <w:rPr>
          <w:rFonts w:ascii="AkzidenzGroteskBE" w:hAnsi="AkzidenzGroteskBE" w:eastAsia="AkzidenzGroteskBE"/>
          <w:b w:val="0"/>
          <w:i/>
          <w:color w:val="000000"/>
          <w:sz w:val="12"/>
        </w:rPr>
        <w:t xml:space="preserve">The </w:t>
      </w:r>
      <w:r>
        <w:tab/>
      </w:r>
      <w:r>
        <w:rPr>
          <w:rFonts w:ascii="AkzidenzGroteskBE" w:hAnsi="AkzidenzGroteskBE" w:eastAsia="AkzidenzGroteskBE"/>
          <w:b w:val="0"/>
          <w:i/>
          <w:color w:val="000000"/>
          <w:sz w:val="12"/>
        </w:rPr>
        <w:t>maverick and his machine: Thomas Watson, Sr. and the making of IBM.</w:t>
      </w:r>
      <w:r>
        <w:rPr>
          <w:rFonts w:ascii="AkzidenzGroteskBE" w:hAnsi="AkzidenzGroteskBE" w:eastAsia="AkzidenzGroteskBE"/>
          <w:b w:val="0"/>
          <w:i w:val="0"/>
          <w:color w:val="000000"/>
          <w:sz w:val="12"/>
        </w:rPr>
        <w:t xml:space="preserve"> Hoboken, NJ: John Wiley &amp; Sons, Inc. Garr, D. (1999). </w:t>
      </w:r>
      <w:r>
        <w:rPr>
          <w:rFonts w:ascii="AkzidenzGroteskBE" w:hAnsi="AkzidenzGroteskBE" w:eastAsia="AkzidenzGroteskBE"/>
          <w:b w:val="0"/>
          <w:i/>
          <w:color w:val="000000"/>
          <w:sz w:val="12"/>
        </w:rPr>
        <w:t xml:space="preserve">IBM Redux: Lou Gerstner and the business </w:t>
      </w:r>
      <w:r>
        <w:tab/>
      </w:r>
      <w:r>
        <w:rPr>
          <w:rFonts w:ascii="AkzidenzGroteskBE" w:hAnsi="AkzidenzGroteskBE" w:eastAsia="AkzidenzGroteskBE"/>
          <w:b w:val="0"/>
          <w:i/>
          <w:color w:val="000000"/>
          <w:sz w:val="12"/>
        </w:rPr>
        <w:t>turnaround of the decade.</w:t>
      </w:r>
      <w:r>
        <w:rPr>
          <w:rFonts w:ascii="AkzidenzGroteskBE" w:hAnsi="AkzidenzGroteskBE" w:eastAsia="AkzidenzGroteskBE"/>
          <w:b w:val="0"/>
          <w:i w:val="0"/>
          <w:color w:val="000000"/>
          <w:sz w:val="12"/>
        </w:rPr>
        <w:t xml:space="preserve"> New York: HarperBusiness. </w:t>
      </w:r>
    </w:p>
    <w:p>
      <w:pPr>
        <w:autoSpaceDN w:val="0"/>
        <w:tabs>
          <w:tab w:pos="1390" w:val="left"/>
        </w:tabs>
        <w:autoSpaceDE w:val="0"/>
        <w:widowControl/>
        <w:spacing w:line="144" w:lineRule="exact" w:before="60" w:after="0"/>
        <w:ind w:left="1170" w:right="0" w:firstLine="0"/>
        <w:jc w:val="left"/>
      </w:pPr>
      <w:r>
        <w:rPr>
          <w:rFonts w:ascii="AkzidenzGroteskBE" w:hAnsi="AkzidenzGroteskBE" w:eastAsia="AkzidenzGroteskBE"/>
          <w:b w:val="0"/>
          <w:i w:val="0"/>
          <w:color w:val="000000"/>
          <w:sz w:val="12"/>
        </w:rPr>
        <w:t xml:space="preserve">7 </w:t>
      </w:r>
      <w:r>
        <w:tab/>
      </w:r>
      <w:r>
        <w:rPr>
          <w:rFonts w:ascii="AkzidenzGroteskBE" w:hAnsi="AkzidenzGroteskBE" w:eastAsia="AkzidenzGroteskBE"/>
          <w:b w:val="0"/>
          <w:i w:val="0"/>
          <w:color w:val="000000"/>
          <w:sz w:val="12"/>
        </w:rPr>
        <w:t xml:space="preserve">IBM Corporation. (2009). </w:t>
      </w:r>
      <w:r>
        <w:rPr>
          <w:rFonts w:ascii="AkzidenzGroteskBE" w:hAnsi="AkzidenzGroteskBE" w:eastAsia="AkzidenzGroteskBE"/>
          <w:b w:val="0"/>
          <w:i/>
          <w:color w:val="000000"/>
          <w:sz w:val="12"/>
        </w:rPr>
        <w:t>Working at IBM.</w:t>
      </w:r>
      <w:r>
        <w:rPr>
          <w:rFonts w:ascii="AkzidenzGroteskBE" w:hAnsi="AkzidenzGroteskBE" w:eastAsia="AkzidenzGroteskBE"/>
          <w:b w:val="0"/>
          <w:i w:val="0"/>
          <w:color w:val="000000"/>
          <w:sz w:val="12"/>
        </w:rPr>
        <w:t xml:space="preserve"> Internal company presentation.</w:t>
      </w:r>
    </w:p>
    <w:p>
      <w:pPr>
        <w:autoSpaceDN w:val="0"/>
        <w:tabs>
          <w:tab w:pos="1390" w:val="left"/>
        </w:tabs>
        <w:autoSpaceDE w:val="0"/>
        <w:widowControl/>
        <w:spacing w:line="144" w:lineRule="exact" w:before="56" w:after="0"/>
        <w:ind w:left="1170" w:right="0" w:firstLine="0"/>
        <w:jc w:val="left"/>
      </w:pPr>
      <w:r>
        <w:rPr>
          <w:rFonts w:ascii="AkzidenzGroteskBE" w:hAnsi="AkzidenzGroteskBE" w:eastAsia="AkzidenzGroteskBE"/>
          <w:b w:val="0"/>
          <w:i w:val="0"/>
          <w:color w:val="000000"/>
          <w:sz w:val="12"/>
        </w:rPr>
        <w:t xml:space="preserve">8 </w:t>
      </w:r>
      <w:r>
        <w:tab/>
      </w:r>
      <w:r>
        <w:rPr>
          <w:rFonts w:ascii="AkzidenzGroteskBE" w:hAnsi="AkzidenzGroteskBE" w:eastAsia="AkzidenzGroteskBE"/>
          <w:b w:val="0"/>
          <w:i w:val="0"/>
          <w:color w:val="000000"/>
          <w:sz w:val="12"/>
        </w:rPr>
        <w:t xml:space="preserve">Hemp, P., &amp; Stewart, T. (2004, December). Leading change when business is good. </w:t>
      </w:r>
      <w:r>
        <w:rPr>
          <w:rFonts w:ascii="AkzidenzGroteskBE" w:hAnsi="AkzidenzGroteskBE" w:eastAsia="AkzidenzGroteskBE"/>
          <w:b w:val="0"/>
          <w:i/>
          <w:color w:val="000000"/>
          <w:sz w:val="12"/>
        </w:rPr>
        <w:t>Harvard Business Review</w:t>
      </w:r>
      <w:r>
        <w:rPr>
          <w:rFonts w:ascii="AkzidenzGroteskBE" w:hAnsi="AkzidenzGroteskBE" w:eastAsia="AkzidenzGroteskBE"/>
          <w:b w:val="0"/>
          <w:i w:val="0"/>
          <w:color w:val="000000"/>
          <w:sz w:val="12"/>
        </w:rPr>
        <w:t>, p. 61.</w:t>
      </w:r>
    </w:p>
    <w:p>
      <w:pPr>
        <w:autoSpaceDN w:val="0"/>
        <w:tabs>
          <w:tab w:pos="1390" w:val="left"/>
        </w:tabs>
        <w:autoSpaceDE w:val="0"/>
        <w:widowControl/>
        <w:spacing w:line="144" w:lineRule="exact" w:before="60" w:after="0"/>
        <w:ind w:left="1170" w:right="0" w:firstLine="0"/>
        <w:jc w:val="left"/>
      </w:pPr>
      <w:r>
        <w:rPr>
          <w:rFonts w:ascii="AkzidenzGroteskBE" w:hAnsi="AkzidenzGroteskBE" w:eastAsia="AkzidenzGroteskBE"/>
          <w:b w:val="0"/>
          <w:i w:val="0"/>
          <w:color w:val="000000"/>
          <w:sz w:val="12"/>
        </w:rPr>
        <w:t xml:space="preserve">9 </w:t>
      </w:r>
      <w:r>
        <w:tab/>
      </w:r>
      <w:r>
        <w:rPr>
          <w:rFonts w:ascii="AkzidenzGroteskBE" w:hAnsi="AkzidenzGroteskBE" w:eastAsia="AkzidenzGroteskBE"/>
          <w:b w:val="0"/>
          <w:i w:val="0"/>
          <w:color w:val="000000"/>
          <w:sz w:val="12"/>
        </w:rPr>
        <w:t>Ibid. p. 68.</w:t>
      </w:r>
    </w:p>
    <w:p>
      <w:pPr>
        <w:autoSpaceDN w:val="0"/>
        <w:tabs>
          <w:tab w:pos="1390" w:val="left"/>
        </w:tabs>
        <w:autoSpaceDE w:val="0"/>
        <w:widowControl/>
        <w:spacing w:line="160" w:lineRule="exact" w:before="44" w:after="0"/>
        <w:ind w:left="1170" w:right="1728" w:firstLine="0"/>
        <w:jc w:val="left"/>
      </w:pPr>
      <w:r>
        <w:rPr>
          <w:rFonts w:ascii="AkzidenzGroteskBE" w:hAnsi="AkzidenzGroteskBE" w:eastAsia="AkzidenzGroteskBE"/>
          <w:b w:val="0"/>
          <w:i w:val="0"/>
          <w:color w:val="000000"/>
          <w:sz w:val="12"/>
        </w:rPr>
        <w:t xml:space="preserve">10 Daniel, T. (2009). Managing employee performance. </w:t>
      </w:r>
      <w:r>
        <w:rPr>
          <w:rFonts w:ascii="AkzidenzGroteskBE" w:hAnsi="AkzidenzGroteskBE" w:eastAsia="AkzidenzGroteskBE"/>
          <w:b w:val="0"/>
          <w:i/>
          <w:color w:val="000000"/>
          <w:sz w:val="12"/>
        </w:rPr>
        <w:t>SHRM Online</w:t>
      </w:r>
      <w:r>
        <w:rPr>
          <w:rFonts w:ascii="AkzidenzGroteskBE" w:hAnsi="AkzidenzGroteskBE" w:eastAsia="AkzidenzGroteskBE"/>
          <w:b w:val="0"/>
          <w:i w:val="0"/>
          <w:color w:val="000000"/>
          <w:sz w:val="12"/>
        </w:rPr>
        <w:t xml:space="preserve">. Retrieved September 17, 2009, from www.shrm.org/Research/Articles/Articles/Pages/ </w:t>
      </w:r>
      <w:r>
        <w:tab/>
      </w:r>
      <w:r>
        <w:rPr>
          <w:rFonts w:ascii="AkzidenzGroteskBE" w:hAnsi="AkzidenzGroteskBE" w:eastAsia="AkzidenzGroteskBE"/>
          <w:b w:val="0"/>
          <w:i w:val="0"/>
          <w:color w:val="000000"/>
          <w:sz w:val="12"/>
        </w:rPr>
        <w:t>ManagingEmployeePerformance.aspx.</w:t>
      </w:r>
    </w:p>
    <w:p>
      <w:pPr>
        <w:autoSpaceDN w:val="0"/>
        <w:tabs>
          <w:tab w:pos="1390" w:val="left"/>
        </w:tabs>
        <w:autoSpaceDE w:val="0"/>
        <w:widowControl/>
        <w:spacing w:line="160" w:lineRule="exact" w:before="42" w:after="0"/>
        <w:ind w:left="1170" w:right="864" w:firstLine="0"/>
        <w:jc w:val="left"/>
      </w:pPr>
      <w:r>
        <w:rPr>
          <w:rFonts w:ascii="AkzidenzGroteskBE" w:hAnsi="AkzidenzGroteskBE" w:eastAsia="AkzidenzGroteskBE"/>
          <w:b w:val="0"/>
          <w:i w:val="0"/>
          <w:color w:val="000000"/>
          <w:sz w:val="12"/>
        </w:rPr>
        <w:t xml:space="preserve">11 Boudreau, J. W. (2010). </w:t>
      </w:r>
      <w:r>
        <w:rPr>
          <w:rFonts w:ascii="AkzidenzGroteskBE" w:hAnsi="AkzidenzGroteskBE" w:eastAsia="AkzidenzGroteskBE"/>
          <w:b w:val="0"/>
          <w:i/>
          <w:color w:val="000000"/>
          <w:sz w:val="12"/>
        </w:rPr>
        <w:t>Retooling HR</w:t>
      </w:r>
      <w:r>
        <w:rPr>
          <w:rFonts w:ascii="AkzidenzGroteskBE" w:hAnsi="AkzidenzGroteskBE" w:eastAsia="AkzidenzGroteskBE"/>
          <w:b w:val="0"/>
          <w:i w:val="0"/>
          <w:color w:val="000000"/>
          <w:sz w:val="12"/>
        </w:rPr>
        <w:t xml:space="preserve">. Boston, MA: Harvard Business Publishing. Cascio, W. F., &amp; Boudreau, J. W. (2010). Utility of selection systems: Supply chain analysis </w:t>
      </w:r>
      <w:r>
        <w:tab/>
      </w:r>
      <w:r>
        <w:rPr>
          <w:rFonts w:ascii="AkzidenzGroteskBE" w:hAnsi="AkzidenzGroteskBE" w:eastAsia="AkzidenzGroteskBE"/>
          <w:b w:val="0"/>
          <w:i w:val="0"/>
          <w:color w:val="000000"/>
          <w:sz w:val="12"/>
        </w:rPr>
        <w:t xml:space="preserve">applied to staffing decisions. In S. Zedeck (ed.), </w:t>
      </w:r>
      <w:r>
        <w:rPr>
          <w:rFonts w:ascii="AkzidenzGroteskBE" w:hAnsi="AkzidenzGroteskBE" w:eastAsia="AkzidenzGroteskBE"/>
          <w:b w:val="0"/>
          <w:i/>
          <w:color w:val="000000"/>
          <w:sz w:val="12"/>
        </w:rPr>
        <w:t>Handbook of industrial and organizational psychology</w:t>
      </w:r>
      <w:r>
        <w:rPr>
          <w:rFonts w:ascii="AkzidenzGroteskBE" w:hAnsi="AkzidenzGroteskBE" w:eastAsia="AkzidenzGroteskBE"/>
          <w:b w:val="0"/>
          <w:i w:val="0"/>
          <w:color w:val="000000"/>
          <w:sz w:val="12"/>
        </w:rPr>
        <w:t xml:space="preserve">. Washington, D.C.: American Psychological Association. </w:t>
      </w:r>
    </w:p>
    <w:p>
      <w:pPr>
        <w:autoSpaceDN w:val="0"/>
        <w:autoSpaceDE w:val="0"/>
        <w:widowControl/>
        <w:spacing w:line="160" w:lineRule="exact" w:before="44" w:after="0"/>
        <w:ind w:left="1390" w:right="1008" w:hanging="220"/>
        <w:jc w:val="left"/>
      </w:pPr>
      <w:r>
        <w:rPr>
          <w:rFonts w:ascii="AkzidenzGroteskBE" w:hAnsi="AkzidenzGroteskBE" w:eastAsia="AkzidenzGroteskBE"/>
          <w:b w:val="0"/>
          <w:i w:val="0"/>
          <w:color w:val="000000"/>
          <w:sz w:val="12"/>
        </w:rPr>
        <w:t xml:space="preserve">12 Dowling, P.T., &amp; Schuler, R. S. (2005). </w:t>
      </w:r>
      <w:r>
        <w:rPr>
          <w:rFonts w:ascii="AkzidenzGroteskBE" w:hAnsi="AkzidenzGroteskBE" w:eastAsia="AkzidenzGroteskBE"/>
          <w:b w:val="0"/>
          <w:i/>
          <w:color w:val="000000"/>
          <w:sz w:val="12"/>
        </w:rPr>
        <w:t>International human resource management.</w:t>
      </w:r>
      <w:r>
        <w:rPr>
          <w:rFonts w:ascii="AkzidenzGroteskBE" w:hAnsi="AkzidenzGroteskBE" w:eastAsia="AkzidenzGroteskBE"/>
          <w:b w:val="0"/>
          <w:i w:val="0"/>
          <w:color w:val="000000"/>
          <w:sz w:val="12"/>
        </w:rPr>
        <w:t xml:space="preserve"> Excel Books. Schuler, R., Briscoe, D., &amp; Claus, L. (2008). </w:t>
      </w:r>
      <w:r>
        <w:rPr>
          <w:rFonts w:ascii="AkzidenzGroteskBE" w:hAnsi="AkzidenzGroteskBE" w:eastAsia="AkzidenzGroteskBE"/>
          <w:b w:val="0"/>
          <w:i/>
          <w:color w:val="000000"/>
          <w:sz w:val="12"/>
        </w:rPr>
        <w:t xml:space="preserve">International human resource </w:t>
      </w:r>
      <w:r>
        <w:rPr>
          <w:rFonts w:ascii="AkzidenzGroteskBE" w:hAnsi="AkzidenzGroteskBE" w:eastAsia="AkzidenzGroteskBE"/>
          <w:b w:val="0"/>
          <w:i/>
          <w:color w:val="000000"/>
          <w:sz w:val="12"/>
        </w:rPr>
        <w:t>management (Routledge Global Human Resource Management)</w:t>
      </w:r>
      <w:r>
        <w:rPr>
          <w:rFonts w:ascii="AkzidenzGroteskBE" w:hAnsi="AkzidenzGroteskBE" w:eastAsia="AkzidenzGroteskBE"/>
          <w:b w:val="0"/>
          <w:i w:val="0"/>
          <w:color w:val="000000"/>
          <w:sz w:val="12"/>
        </w:rPr>
        <w:t xml:space="preserve">. Routledge. Robson, F. (2009). International HRM case study—international assignments. </w:t>
      </w:r>
      <w:r>
        <w:rPr>
          <w:rFonts w:ascii="AkzidenzGroteskBE" w:hAnsi="AkzidenzGroteskBE" w:eastAsia="AkzidenzGroteskBE"/>
          <w:b w:val="0"/>
          <w:i/>
          <w:color w:val="000000"/>
          <w:sz w:val="12"/>
        </w:rPr>
        <w:t>SHRM Online</w:t>
      </w:r>
      <w:r>
        <w:rPr>
          <w:rFonts w:ascii="AkzidenzGroteskBE" w:hAnsi="AkzidenzGroteskBE" w:eastAsia="AkzidenzGroteskBE"/>
          <w:b w:val="0"/>
          <w:i w:val="0"/>
          <w:color w:val="000000"/>
          <w:sz w:val="12"/>
        </w:rPr>
        <w:t xml:space="preserve">. </w:t>
      </w:r>
    </w:p>
    <w:p>
      <w:pPr>
        <w:autoSpaceDN w:val="0"/>
        <w:autoSpaceDE w:val="0"/>
        <w:widowControl/>
        <w:spacing w:line="160" w:lineRule="exact" w:before="0" w:after="0"/>
        <w:ind w:left="1390" w:right="576" w:firstLine="0"/>
        <w:jc w:val="left"/>
      </w:pPr>
      <w:r>
        <w:rPr>
          <w:rFonts w:ascii="AkzidenzGroteskBE" w:hAnsi="AkzidenzGroteskBE" w:eastAsia="AkzidenzGroteskBE"/>
          <w:b w:val="0"/>
          <w:i w:val="0"/>
          <w:color w:val="000000"/>
          <w:sz w:val="12"/>
        </w:rPr>
        <w:t xml:space="preserve">Retrieved June 10, 2010, from www.shrm.org/Education/hreducation/Pages/InternationalHRMCaseStudyInternationalAssignments.aspx. Wright, G. (2009, May 19). American </w:t>
      </w:r>
      <w:r>
        <w:rPr>
          <w:rFonts w:ascii="AkzidenzGroteskBE" w:hAnsi="AkzidenzGroteskBE" w:eastAsia="AkzidenzGroteskBE"/>
          <w:b w:val="0"/>
          <w:i w:val="0"/>
          <w:color w:val="000000"/>
          <w:sz w:val="12"/>
        </w:rPr>
        <w:t xml:space="preserve">companies seeking to go global can face big HR hurdles. </w:t>
      </w:r>
      <w:r>
        <w:rPr>
          <w:rFonts w:ascii="AkzidenzGroteskBE" w:hAnsi="AkzidenzGroteskBE" w:eastAsia="AkzidenzGroteskBE"/>
          <w:b w:val="0"/>
          <w:i/>
          <w:color w:val="000000"/>
          <w:sz w:val="12"/>
        </w:rPr>
        <w:t>SHRM Online</w:t>
      </w:r>
      <w:r>
        <w:rPr>
          <w:rFonts w:ascii="AkzidenzGroteskBE" w:hAnsi="AkzidenzGroteskBE" w:eastAsia="AkzidenzGroteskBE"/>
          <w:b w:val="0"/>
          <w:i w:val="0"/>
          <w:color w:val="000000"/>
          <w:sz w:val="12"/>
        </w:rPr>
        <w:t>. Retrieved June 20, 2010, from www.shrm.org/hrdisciplines/global/Articles/Pages/BigGlobalHRHurdles.</w:t>
      </w:r>
    </w:p>
    <w:p>
      <w:pPr>
        <w:autoSpaceDN w:val="0"/>
        <w:autoSpaceDE w:val="0"/>
        <w:widowControl/>
        <w:spacing w:line="160" w:lineRule="exact" w:before="0" w:after="0"/>
        <w:ind w:left="1390" w:right="720" w:firstLine="0"/>
        <w:jc w:val="left"/>
      </w:pPr>
      <w:r>
        <w:rPr>
          <w:rFonts w:ascii="AkzidenzGroteskBE" w:hAnsi="AkzidenzGroteskBE" w:eastAsia="AkzidenzGroteskBE"/>
          <w:b w:val="0"/>
          <w:i w:val="0"/>
          <w:color w:val="000000"/>
          <w:sz w:val="12"/>
        </w:rPr>
        <w:t xml:space="preserve">aspx. Smith, J. J. (2008, Oct. 1). Most multinational firms not tracking expats’ ROI. </w:t>
      </w:r>
      <w:r>
        <w:rPr>
          <w:rFonts w:ascii="AkzidenzGroteskBE" w:hAnsi="AkzidenzGroteskBE" w:eastAsia="AkzidenzGroteskBE"/>
          <w:b w:val="0"/>
          <w:i/>
          <w:color w:val="000000"/>
          <w:sz w:val="12"/>
        </w:rPr>
        <w:t>SHRM Online</w:t>
      </w:r>
      <w:r>
        <w:rPr>
          <w:rFonts w:ascii="AkzidenzGroteskBE" w:hAnsi="AkzidenzGroteskBE" w:eastAsia="AkzidenzGroteskBE"/>
          <w:b w:val="0"/>
          <w:i w:val="0"/>
          <w:color w:val="000000"/>
          <w:sz w:val="12"/>
        </w:rPr>
        <w:t xml:space="preserve">. Retrieved June 20, 2010, from www.shrm.org/hrdisciplines/global/Articles/ </w:t>
      </w:r>
      <w:r>
        <w:rPr>
          <w:rFonts w:ascii="AkzidenzGroteskBE" w:hAnsi="AkzidenzGroteskBE" w:eastAsia="AkzidenzGroteskBE"/>
          <w:b w:val="0"/>
          <w:i w:val="0"/>
          <w:color w:val="000000"/>
          <w:sz w:val="12"/>
        </w:rPr>
        <w:t xml:space="preserve">Pages/Expats%E2%80%99ROI.aspx. Smith, J. J. (2008, June 24). Employers need to improve long-term management of global talent. </w:t>
      </w:r>
      <w:r>
        <w:rPr>
          <w:rFonts w:ascii="AkzidenzGroteskBE" w:hAnsi="AkzidenzGroteskBE" w:eastAsia="AkzidenzGroteskBE"/>
          <w:b w:val="0"/>
          <w:i/>
          <w:color w:val="000000"/>
          <w:sz w:val="12"/>
        </w:rPr>
        <w:t>SHRM Online</w:t>
      </w:r>
      <w:r>
        <w:rPr>
          <w:rFonts w:ascii="AkzidenzGroteskBE" w:hAnsi="AkzidenzGroteskBE" w:eastAsia="AkzidenzGroteskBE"/>
          <w:b w:val="0"/>
          <w:i w:val="0"/>
          <w:color w:val="000000"/>
          <w:sz w:val="12"/>
        </w:rPr>
        <w:t xml:space="preserve">. Retrieved from www.shrm. </w:t>
      </w:r>
      <w:r>
        <w:rPr>
          <w:rFonts w:ascii="AkzidenzGroteskBE" w:hAnsi="AkzidenzGroteskBE" w:eastAsia="AkzidenzGroteskBE"/>
          <w:b w:val="0"/>
          <w:i w:val="0"/>
          <w:color w:val="000000"/>
          <w:sz w:val="12"/>
        </w:rPr>
        <w:t>org/Publications/HRNews/Pages/EmployersNeedImprove.aspx.</w:t>
      </w:r>
    </w:p>
    <w:p>
      <w:pPr>
        <w:autoSpaceDN w:val="0"/>
        <w:tabs>
          <w:tab w:pos="1390" w:val="left"/>
        </w:tabs>
        <w:autoSpaceDE w:val="0"/>
        <w:widowControl/>
        <w:spacing w:line="160" w:lineRule="exact" w:before="42" w:after="0"/>
        <w:ind w:left="1170" w:right="864" w:firstLine="0"/>
        <w:jc w:val="left"/>
      </w:pPr>
      <w:r>
        <w:rPr>
          <w:rFonts w:ascii="AkzidenzGroteskBE" w:hAnsi="AkzidenzGroteskBE" w:eastAsia="AkzidenzGroteskBE"/>
          <w:b w:val="0"/>
          <w:i w:val="0"/>
          <w:color w:val="000000"/>
          <w:sz w:val="12"/>
        </w:rPr>
        <w:t xml:space="preserve">13 Boudreau, J. W. (2010). </w:t>
      </w:r>
      <w:r>
        <w:rPr>
          <w:rFonts w:ascii="AkzidenzGroteskBE" w:hAnsi="AkzidenzGroteskBE" w:eastAsia="AkzidenzGroteskBE"/>
          <w:b w:val="0"/>
          <w:i/>
          <w:color w:val="000000"/>
          <w:sz w:val="12"/>
        </w:rPr>
        <w:t>Retooling HR</w:t>
      </w:r>
      <w:r>
        <w:rPr>
          <w:rFonts w:ascii="AkzidenzGroteskBE" w:hAnsi="AkzidenzGroteskBE" w:eastAsia="AkzidenzGroteskBE"/>
          <w:b w:val="0"/>
          <w:i w:val="0"/>
          <w:color w:val="000000"/>
          <w:sz w:val="12"/>
        </w:rPr>
        <w:t xml:space="preserve">. Boston, MA: Harvard Business Publishing. Cascio, W. F., &amp; Boudreau, J. W. (2010). Utility of selection systems: Supply chain analysis </w:t>
      </w:r>
      <w:r>
        <w:tab/>
      </w:r>
      <w:r>
        <w:rPr>
          <w:rFonts w:ascii="AkzidenzGroteskBE" w:hAnsi="AkzidenzGroteskBE" w:eastAsia="AkzidenzGroteskBE"/>
          <w:b w:val="0"/>
          <w:i w:val="0"/>
          <w:color w:val="000000"/>
          <w:sz w:val="12"/>
        </w:rPr>
        <w:t xml:space="preserve">applied to staffing decisions. In S. Zedeck (ed.), </w:t>
      </w:r>
      <w:r>
        <w:rPr>
          <w:rFonts w:ascii="AkzidenzGroteskBE" w:hAnsi="AkzidenzGroteskBE" w:eastAsia="AkzidenzGroteskBE"/>
          <w:b w:val="0"/>
          <w:i/>
          <w:color w:val="000000"/>
          <w:sz w:val="12"/>
        </w:rPr>
        <w:t>Handbook of industrial and organizational psychology</w:t>
      </w:r>
      <w:r>
        <w:rPr>
          <w:rFonts w:ascii="AkzidenzGroteskBE" w:hAnsi="AkzidenzGroteskBE" w:eastAsia="AkzidenzGroteskBE"/>
          <w:b w:val="0"/>
          <w:i w:val="0"/>
          <w:color w:val="000000"/>
          <w:sz w:val="12"/>
        </w:rPr>
        <w:t xml:space="preserve">. Washington, D.C.: American Psychological Association. </w:t>
      </w:r>
    </w:p>
    <w:p>
      <w:pPr>
        <w:autoSpaceDN w:val="0"/>
        <w:autoSpaceDE w:val="0"/>
        <w:widowControl/>
        <w:spacing w:line="144" w:lineRule="exact" w:before="60" w:after="0"/>
        <w:ind w:left="1170" w:right="0" w:firstLine="0"/>
        <w:jc w:val="left"/>
      </w:pPr>
      <w:r>
        <w:rPr>
          <w:rFonts w:ascii="AkzidenzGroteskBE" w:hAnsi="AkzidenzGroteskBE" w:eastAsia="AkzidenzGroteskBE"/>
          <w:b w:val="0"/>
          <w:i w:val="0"/>
          <w:color w:val="000000"/>
          <w:sz w:val="12"/>
        </w:rPr>
        <w:t xml:space="preserve">14 Cappelli, P. (2008). </w:t>
      </w:r>
      <w:r>
        <w:rPr>
          <w:rFonts w:ascii="AkzidenzGroteskBE" w:hAnsi="AkzidenzGroteskBE" w:eastAsia="AkzidenzGroteskBE"/>
          <w:b w:val="0"/>
          <w:i/>
          <w:color w:val="000000"/>
          <w:sz w:val="12"/>
        </w:rPr>
        <w:t>Talent on demand</w:t>
      </w:r>
      <w:r>
        <w:rPr>
          <w:rFonts w:ascii="AkzidenzGroteskBE" w:hAnsi="AkzidenzGroteskBE" w:eastAsia="AkzidenzGroteskBE"/>
          <w:b w:val="0"/>
          <w:i w:val="0"/>
          <w:color w:val="000000"/>
          <w:sz w:val="12"/>
        </w:rPr>
        <w:t xml:space="preserve">. Boston, MA: Harvard Business Publishing. </w:t>
      </w:r>
    </w:p>
    <w:p>
      <w:pPr>
        <w:autoSpaceDN w:val="0"/>
        <w:autoSpaceDE w:val="0"/>
        <w:widowControl/>
        <w:spacing w:line="204" w:lineRule="exact" w:before="0" w:after="0"/>
        <w:ind w:left="1170" w:right="720" w:firstLine="0"/>
        <w:jc w:val="left"/>
      </w:pPr>
      <w:r>
        <w:rPr>
          <w:rFonts w:ascii="AkzidenzGroteskBE" w:hAnsi="AkzidenzGroteskBE" w:eastAsia="AkzidenzGroteskBE"/>
          <w:b w:val="0"/>
          <w:i w:val="0"/>
          <w:color w:val="000000"/>
          <w:sz w:val="12"/>
        </w:rPr>
        <w:t xml:space="preserve">15 The present case, Part B, deals primarily with the first of these goals – system design and data capture, while Part C addresses implications for the design of the HR organization. </w:t>
      </w:r>
      <w:r>
        <w:rPr>
          <w:rFonts w:ascii="AkzidenzGroteskBE" w:hAnsi="AkzidenzGroteskBE" w:eastAsia="AkzidenzGroteskBE"/>
          <w:b w:val="0"/>
          <w:i w:val="0"/>
          <w:color w:val="000000"/>
          <w:sz w:val="12"/>
        </w:rPr>
        <w:t xml:space="preserve">16 Boudreau, J. W. (2010). </w:t>
      </w:r>
      <w:r>
        <w:rPr>
          <w:rFonts w:ascii="AkzidenzGroteskBE" w:hAnsi="AkzidenzGroteskBE" w:eastAsia="AkzidenzGroteskBE"/>
          <w:b w:val="0"/>
          <w:i/>
          <w:color w:val="000000"/>
          <w:sz w:val="12"/>
        </w:rPr>
        <w:t>Retooling HR</w:t>
      </w:r>
      <w:r>
        <w:rPr>
          <w:rFonts w:ascii="AkzidenzGroteskBE" w:hAnsi="AkzidenzGroteskBE" w:eastAsia="AkzidenzGroteskBE"/>
          <w:b w:val="0"/>
          <w:i w:val="0"/>
          <w:color w:val="000000"/>
          <w:sz w:val="12"/>
        </w:rPr>
        <w:t xml:space="preserve">. Boston, MA: Harvard Business Publishing. </w:t>
      </w:r>
    </w:p>
    <w:p>
      <w:pPr>
        <w:autoSpaceDN w:val="0"/>
        <w:tabs>
          <w:tab w:pos="1390" w:val="left"/>
        </w:tabs>
        <w:autoSpaceDE w:val="0"/>
        <w:widowControl/>
        <w:spacing w:line="160" w:lineRule="exact" w:before="42" w:after="0"/>
        <w:ind w:left="1170" w:right="720" w:firstLine="0"/>
        <w:jc w:val="left"/>
      </w:pPr>
      <w:r>
        <w:rPr>
          <w:rFonts w:ascii="AkzidenzGroteskBE" w:hAnsi="AkzidenzGroteskBE" w:eastAsia="AkzidenzGroteskBE"/>
          <w:b w:val="0"/>
          <w:i w:val="0"/>
          <w:color w:val="000000"/>
          <w:sz w:val="12"/>
        </w:rPr>
        <w:t xml:space="preserve">17 Weatherly, L. (2005). Competency models series part I: Competency models—an overview. </w:t>
      </w:r>
      <w:r>
        <w:rPr>
          <w:rFonts w:ascii="AkzidenzGroteskBE" w:hAnsi="AkzidenzGroteskBE" w:eastAsia="AkzidenzGroteskBE"/>
          <w:b w:val="0"/>
          <w:i/>
          <w:color w:val="000000"/>
          <w:sz w:val="12"/>
        </w:rPr>
        <w:t>SHRM Briefly Stated</w:t>
      </w:r>
      <w:r>
        <w:rPr>
          <w:rFonts w:ascii="AkzidenzGroteskBE" w:hAnsi="AkzidenzGroteskBE" w:eastAsia="AkzidenzGroteskBE"/>
          <w:b w:val="0"/>
          <w:i w:val="0"/>
          <w:color w:val="000000"/>
          <w:sz w:val="12"/>
        </w:rPr>
        <w:t xml:space="preserve">. Retrieved September 21, 2009, from www.shrm.org/Research/ </w:t>
      </w:r>
      <w:r>
        <w:tab/>
      </w:r>
      <w:r>
        <w:rPr>
          <w:rFonts w:ascii="AkzidenzGroteskBE" w:hAnsi="AkzidenzGroteskBE" w:eastAsia="AkzidenzGroteskBE"/>
          <w:b w:val="0"/>
          <w:i w:val="0"/>
          <w:color w:val="000000"/>
          <w:sz w:val="12"/>
        </w:rPr>
        <w:t>Articles/Articles/Pages/Competency_20Models_20Series_20Part_20I__20Competency_20Models_20-_20An_20Overview.aspx.</w:t>
      </w:r>
    </w:p>
    <w:p>
      <w:pPr>
        <w:autoSpaceDN w:val="0"/>
        <w:autoSpaceDE w:val="0"/>
        <w:widowControl/>
        <w:spacing w:line="160" w:lineRule="exact" w:before="44" w:after="0"/>
        <w:ind w:left="1390" w:right="720" w:firstLine="0"/>
        <w:jc w:val="left"/>
      </w:pPr>
      <w:r>
        <w:rPr>
          <w:rFonts w:ascii="AkzidenzGroteskBE" w:hAnsi="AkzidenzGroteskBE" w:eastAsia="AkzidenzGroteskBE"/>
          <w:b w:val="0"/>
          <w:i w:val="0"/>
          <w:color w:val="000000"/>
          <w:sz w:val="12"/>
        </w:rPr>
        <w:t xml:space="preserve">Weatherly, L. (2005). Competency models series part II: Competency methods and uses. </w:t>
      </w:r>
      <w:r>
        <w:rPr>
          <w:rFonts w:ascii="AkzidenzGroteskBE" w:hAnsi="AkzidenzGroteskBE" w:eastAsia="AkzidenzGroteskBE"/>
          <w:b w:val="0"/>
          <w:i/>
          <w:color w:val="000000"/>
          <w:sz w:val="12"/>
        </w:rPr>
        <w:t>SHRM Briefly Stated</w:t>
      </w:r>
      <w:r>
        <w:rPr>
          <w:rFonts w:ascii="AkzidenzGroteskBE" w:hAnsi="AkzidenzGroteskBE" w:eastAsia="AkzidenzGroteskBE"/>
          <w:b w:val="0"/>
          <w:i w:val="0"/>
          <w:color w:val="000000"/>
          <w:sz w:val="12"/>
        </w:rPr>
        <w:t xml:space="preserve">. Retrieved September 21, 2009, from www.shrm.org/Research/ </w:t>
      </w:r>
      <w:r>
        <w:rPr>
          <w:rFonts w:ascii="AkzidenzGroteskBE" w:hAnsi="AkzidenzGroteskBE" w:eastAsia="AkzidenzGroteskBE"/>
          <w:b w:val="0"/>
          <w:i w:val="0"/>
          <w:color w:val="000000"/>
          <w:sz w:val="12"/>
        </w:rPr>
        <w:t>Articles/Articles/Pages/Competency_20Models_20Series_20Part_20II__20Competency_20Methods_20and_20Uses.aspx.</w:t>
      </w:r>
    </w:p>
    <w:p>
      <w:pPr>
        <w:autoSpaceDN w:val="0"/>
        <w:autoSpaceDE w:val="0"/>
        <w:widowControl/>
        <w:spacing w:line="160" w:lineRule="exact" w:before="44" w:after="0"/>
        <w:ind w:left="1390" w:right="720" w:firstLine="0"/>
        <w:jc w:val="left"/>
      </w:pPr>
      <w:r>
        <w:rPr>
          <w:rFonts w:ascii="AkzidenzGroteskBE" w:hAnsi="AkzidenzGroteskBE" w:eastAsia="AkzidenzGroteskBE"/>
          <w:b w:val="0"/>
          <w:i w:val="0"/>
          <w:color w:val="000000"/>
          <w:sz w:val="12"/>
        </w:rPr>
        <w:t xml:space="preserve">Weatherly, L. (2005). Competency models series part III: Competency-based performance management. </w:t>
      </w:r>
      <w:r>
        <w:rPr>
          <w:rFonts w:ascii="AkzidenzGroteskBE" w:hAnsi="AkzidenzGroteskBE" w:eastAsia="AkzidenzGroteskBE"/>
          <w:b w:val="0"/>
          <w:i/>
          <w:color w:val="000000"/>
          <w:sz w:val="12"/>
        </w:rPr>
        <w:t>SHRM Briefly Stated</w:t>
      </w:r>
      <w:r>
        <w:rPr>
          <w:rFonts w:ascii="AkzidenzGroteskBE" w:hAnsi="AkzidenzGroteskBE" w:eastAsia="AkzidenzGroteskBE"/>
          <w:b w:val="0"/>
          <w:i w:val="0"/>
          <w:color w:val="000000"/>
          <w:sz w:val="12"/>
        </w:rPr>
        <w:t xml:space="preserve">. Retrieved September 21, 2009, from www.shrm. </w:t>
      </w:r>
      <w:r>
        <w:rPr>
          <w:rFonts w:ascii="AkzidenzGroteskBE" w:hAnsi="AkzidenzGroteskBE" w:eastAsia="AkzidenzGroteskBE"/>
          <w:b w:val="0"/>
          <w:i w:val="0"/>
          <w:color w:val="000000"/>
          <w:sz w:val="12"/>
        </w:rPr>
        <w:t>org/Research/Articles/Articles/Pages/Competency_20Models_20Series_20Part_20III__20Competency-Based_20Performance_20Management.aspx.</w:t>
      </w:r>
    </w:p>
    <w:p>
      <w:pPr>
        <w:autoSpaceDN w:val="0"/>
        <w:autoSpaceDE w:val="0"/>
        <w:widowControl/>
        <w:spacing w:line="144" w:lineRule="exact" w:before="58" w:after="0"/>
        <w:ind w:left="1170" w:right="0" w:firstLine="0"/>
        <w:jc w:val="left"/>
      </w:pPr>
      <w:r>
        <w:rPr>
          <w:rFonts w:ascii="AkzidenzGroteskBE" w:hAnsi="AkzidenzGroteskBE" w:eastAsia="AkzidenzGroteskBE"/>
          <w:b w:val="0"/>
          <w:i w:val="0"/>
          <w:color w:val="000000"/>
          <w:sz w:val="12"/>
        </w:rPr>
        <w:t xml:space="preserve">18 Boudreau, J. W., &amp; Ramstad, P. M. (2007). </w:t>
      </w:r>
      <w:r>
        <w:rPr>
          <w:rFonts w:ascii="AkzidenzGroteskBE" w:hAnsi="AkzidenzGroteskBE" w:eastAsia="AkzidenzGroteskBE"/>
          <w:b w:val="0"/>
          <w:i/>
          <w:color w:val="000000"/>
          <w:sz w:val="12"/>
        </w:rPr>
        <w:t>Beyond HR</w:t>
      </w:r>
      <w:r>
        <w:rPr>
          <w:rFonts w:ascii="AkzidenzGroteskBE" w:hAnsi="AkzidenzGroteskBE" w:eastAsia="AkzidenzGroteskBE"/>
          <w:b w:val="0"/>
          <w:i w:val="0"/>
          <w:color w:val="000000"/>
          <w:sz w:val="12"/>
        </w:rPr>
        <w:t xml:space="preserve">. Boston: Harvard Business Press. </w:t>
      </w:r>
    </w:p>
    <w:p>
      <w:pPr>
        <w:autoSpaceDN w:val="0"/>
        <w:autoSpaceDE w:val="0"/>
        <w:widowControl/>
        <w:spacing w:line="144" w:lineRule="exact" w:before="60" w:after="0"/>
        <w:ind w:left="1170" w:right="0" w:firstLine="0"/>
        <w:jc w:val="left"/>
      </w:pPr>
      <w:r>
        <w:rPr>
          <w:rFonts w:ascii="AkzidenzGroteskBE" w:hAnsi="AkzidenzGroteskBE" w:eastAsia="AkzidenzGroteskBE"/>
          <w:b w:val="0"/>
          <w:i w:val="0"/>
          <w:color w:val="000000"/>
          <w:sz w:val="12"/>
        </w:rPr>
        <w:t xml:space="preserve">19 Boudreau, J. W. (2010). </w:t>
      </w:r>
      <w:r>
        <w:rPr>
          <w:rFonts w:ascii="AkzidenzGroteskBE" w:hAnsi="AkzidenzGroteskBE" w:eastAsia="AkzidenzGroteskBE"/>
          <w:b w:val="0"/>
          <w:i/>
          <w:color w:val="000000"/>
          <w:sz w:val="12"/>
        </w:rPr>
        <w:t>Retooling HR</w:t>
      </w:r>
      <w:r>
        <w:rPr>
          <w:rFonts w:ascii="AkzidenzGroteskBE" w:hAnsi="AkzidenzGroteskBE" w:eastAsia="AkzidenzGroteskBE"/>
          <w:b w:val="0"/>
          <w:i w:val="0"/>
          <w:color w:val="000000"/>
          <w:sz w:val="12"/>
        </w:rPr>
        <w:t xml:space="preserve">. Boston, MA: Harvard Business Publishing. </w:t>
      </w:r>
    </w:p>
    <w:p>
      <w:pPr>
        <w:autoSpaceDN w:val="0"/>
        <w:tabs>
          <w:tab w:pos="1390" w:val="left"/>
        </w:tabs>
        <w:autoSpaceDE w:val="0"/>
        <w:widowControl/>
        <w:spacing w:line="160" w:lineRule="exact" w:before="42" w:after="0"/>
        <w:ind w:left="1170" w:right="864" w:firstLine="0"/>
        <w:jc w:val="left"/>
      </w:pPr>
      <w:r>
        <w:rPr>
          <w:rFonts w:ascii="AkzidenzGroteskBE" w:hAnsi="AkzidenzGroteskBE" w:eastAsia="AkzidenzGroteskBE"/>
          <w:b w:val="0"/>
          <w:i w:val="0"/>
          <w:color w:val="000000"/>
          <w:sz w:val="12"/>
        </w:rPr>
        <w:t xml:space="preserve">20 For several examples connecting the talent pipeline to concepts from supply chain management, see chapter 5 in Boudreau, J. W. (2010). </w:t>
      </w:r>
      <w:r>
        <w:rPr>
          <w:rFonts w:ascii="AkzidenzGroteskBE" w:hAnsi="AkzidenzGroteskBE" w:eastAsia="AkzidenzGroteskBE"/>
          <w:b w:val="0"/>
          <w:i/>
          <w:color w:val="000000"/>
          <w:sz w:val="12"/>
        </w:rPr>
        <w:t>Retooling HR</w:t>
      </w:r>
      <w:r>
        <w:rPr>
          <w:rFonts w:ascii="AkzidenzGroteskBE" w:hAnsi="AkzidenzGroteskBE" w:eastAsia="AkzidenzGroteskBE"/>
          <w:b w:val="0"/>
          <w:i w:val="0"/>
          <w:color w:val="000000"/>
          <w:sz w:val="12"/>
        </w:rPr>
        <w:t xml:space="preserve">. Boston, MA: Harvard </w:t>
      </w:r>
      <w:r>
        <w:tab/>
      </w:r>
      <w:r>
        <w:rPr>
          <w:rFonts w:ascii="AkzidenzGroteskBE" w:hAnsi="AkzidenzGroteskBE" w:eastAsia="AkzidenzGroteskBE"/>
          <w:b w:val="0"/>
          <w:i w:val="0"/>
          <w:color w:val="000000"/>
          <w:sz w:val="12"/>
        </w:rPr>
        <w:t xml:space="preserve">Business Publishing. </w:t>
      </w:r>
    </w:p>
    <w:p>
      <w:pPr>
        <w:autoSpaceDN w:val="0"/>
        <w:autoSpaceDE w:val="0"/>
        <w:widowControl/>
        <w:spacing w:line="182" w:lineRule="exact" w:before="1060" w:after="0"/>
        <w:ind w:left="0" w:right="122" w:firstLine="0"/>
        <w:jc w:val="right"/>
      </w:pPr>
      <w:r>
        <w:rPr>
          <w:rFonts w:ascii="Futura" w:hAnsi="Futura" w:eastAsia="Futura"/>
          <w:b w:val="0"/>
          <w:i w:val="0"/>
          <w:color w:val="00B5CC"/>
          <w:sz w:val="14"/>
        </w:rPr>
        <w:t xml:space="preserve">© 2010 Society for Human Resource Management. John W. Boudreau, Ph.D.  </w:t>
      </w:r>
      <w:r>
        <w:rPr>
          <w:rFonts w:ascii="Futura" w:hAnsi="Futura" w:eastAsia="Futura"/>
          <w:b w:val="0"/>
          <w:i w:val="0"/>
          <w:color w:val="000000"/>
          <w:sz w:val="14"/>
        </w:rPr>
        <w:t>15</w:t>
      </w:r>
    </w:p>
    <w:p>
      <w:pPr>
        <w:sectPr>
          <w:pgSz w:w="12240" w:h="15840"/>
          <w:pgMar w:top="1280" w:right="70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360"/>
      </w:tblGrid>
      <w:tr>
        <w:trPr>
          <w:trHeight w:hRule="exact" w:val="15820"/>
        </w:trPr>
        <w:tc>
          <w:tcPr>
            <w:tcW w:type="dxa" w:w="12240"/>
            <w:tcBorders/>
            <w:shd w:fill="8ed4e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484" w:after="0"/>
              <w:ind w:left="5040" w:right="5040" w:firstLine="0"/>
              <w:jc w:val="center"/>
            </w:pPr>
            <w:r>
              <w:rPr>
                <w:rFonts w:ascii="AkzidenzGroteskBE" w:hAnsi="AkzidenzGroteskBE" w:eastAsia="AkzidenzGroteskBE"/>
                <w:b w:val="0"/>
                <w:i w:val="0"/>
                <w:color w:val="000000"/>
                <w:sz w:val="16"/>
              </w:rPr>
              <w:t xml:space="preserve">1800 Duke Street </w:t>
            </w:r>
            <w:r>
              <w:br/>
            </w:r>
            <w:r>
              <w:rPr>
                <w:rFonts w:ascii="AkzidenzGroteskBE" w:hAnsi="AkzidenzGroteskBE" w:eastAsia="AkzidenzGroteskBE"/>
                <w:b w:val="0"/>
                <w:i w:val="0"/>
                <w:color w:val="000000"/>
                <w:sz w:val="16"/>
              </w:rPr>
              <w:t>Alexandria, VA 22314-3499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6692900</wp:posOffset>
            </wp:positionV>
            <wp:extent cx="7772400" cy="33655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336550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2240" w:h="1584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