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2"/>
        </w:rPr>
        <w:t>IBM's Global Talent Management Strategy: The Vision of the Globally Integrated Enterprise</w:t>
        <w:br/>
        <w:t>ANALYTICAL HRM POLICY REPORT</w:t>
      </w:r>
    </w:p>
    <w:p>
      <w:pPr>
        <w:spacing w:line="360" w:lineRule="auto" w:after="720"/>
        <w:jc w:val="center"/>
      </w:pPr>
      <w:r>
        <w:rPr>
          <w:rFonts w:ascii="Times New Roman" w:hAnsi="Times New Roman"/>
          <w:sz w:val="24"/>
        </w:rPr>
        <w:t>Prepared by: Ijaz DPHP</w:t>
        <w:br/>
        <w:t>Student ID: [Student ID]</w:t>
        <w:br/>
        <w:t>Course Code: MSPA-SHRM</w:t>
        <w:br/>
        <w:t>Date: June 18, 2026</w:t>
      </w:r>
    </w:p>
    <w:p>
      <w:pPr>
        <w:spacing w:after="120" w:before="240"/>
      </w:pPr>
      <w:r>
        <w:rPr>
          <w:rFonts w:ascii="Times New Roman" w:hAnsi="Times New Roman"/>
          <w:b/>
          <w:sz w:val="28"/>
        </w:rPr>
        <w:t>Executive Summary</w:t>
      </w:r>
    </w:p>
    <w:p>
      <w:pPr>
        <w:spacing w:line="360" w:lineRule="auto" w:after="120"/>
        <w:jc w:val="left"/>
      </w:pPr>
      <w:r>
        <w:rPr>
          <w:rFonts w:ascii="Times New Roman" w:hAnsi="Times New Roman"/>
          <w:sz w:val="24"/>
        </w:rPr>
        <w:t>This analytical report evaluates the strategic implementation and organizational impact of IBM’s Workforce Management Initiative (WMI) as it evolved from 2003 through 2009. Framed around CEO Sam Palmisano’s vision of the Globally Integrated Enterprise (GIE) and championed by HR leader Randy MacDonald, the WMI represented a pioneering shift from a traditional, country-siloed human resource structure to a standardized, data-driven, and globally integrated talent supply chain. The report provides a comprehensive analysis across three core dimensions. First, it traces the historical and strategic context of IBM's crisis of low talent utilization, service delivery bottlenecks, and fragmented talent pools that motivated a US$100 million initial investment. Second, it examines the technical design of IBM’s Expertise Taxonomy, detailing its hierarchical structure from Primary Job Categories to specific skills, and assesses its governance mechanism. Third, the report evaluates the organizational restructuring of the HR function itself, including the innovative 'dual-hatting' model that integrated functional leadership with business-unit partnership. A detailed stakeholder analysis explores the complex, competing interests of senior executives, line managers, full-time employees, contractors, and external vendors. Ultimately, the report presents a balanced critique of the WMI’s impressive financial and operational returns—such as US$1.5 billion in business benefits and a nine percentage-point increase in billable utilization—against critical concerns regarding worker commoditization, data privacy, and the dilution of the human element in employee relations. The analysis concludes with an evidence-based policy recommendation outlining the necessary organizational, technological, and cultural conditions under which other multinational enterprises can adapt or replicate this global talent management model.</w:t>
      </w:r>
    </w:p>
    <w:p>
      <w:r>
        <w:br w:type="page"/>
      </w:r>
    </w:p>
    <w:p>
      <w:pPr>
        <w:spacing w:before="240" w:after="360"/>
        <w:jc w:val="center"/>
      </w:pPr>
      <w:r>
        <w:rPr>
          <w:rFonts w:ascii="Times New Roman" w:hAnsi="Times New Roman"/>
          <w:b/>
          <w:sz w:val="28"/>
        </w:rPr>
        <w:t>TABLE OF CONTENTS</w:t>
      </w:r>
    </w:p>
    <w:p>
      <w:pPr>
        <w:tabs>
          <w:tab w:pos="9026" w:val="right"/>
        </w:tabs>
        <w:spacing w:after="240"/>
      </w:pPr>
      <w:r>
        <w:rPr>
          <w:rFonts w:ascii="Times New Roman" w:hAnsi="Times New Roman"/>
          <w:b/>
          <w:sz w:val="22"/>
        </w:rPr>
        <w:t>Section</w:t>
      </w:r>
      <w:r>
        <w:rPr>
          <w:rFonts w:ascii="Times New Roman" w:hAnsi="Times New Roman"/>
          <w:b/>
          <w:sz w:val="22"/>
        </w:rPr>
        <w:tab/>
        <w:t>Page</w:t>
      </w:r>
    </w:p>
    <w:p>
      <w:pPr>
        <w:tabs>
          <w:tab w:pos="9026" w:val="right" w:leader="dot"/>
        </w:tabs>
        <w:spacing w:line="312" w:lineRule="auto" w:after="120"/>
      </w:pPr>
      <w:r>
        <w:rPr>
          <w:rFonts w:ascii="Times New Roman" w:hAnsi="Times New Roman"/>
          <w:b/>
          <w:sz w:val="22"/>
        </w:rPr>
        <w:t>Executive Summary</w:t>
      </w:r>
      <w:r>
        <w:rPr>
          <w:rFonts w:ascii="Times New Roman" w:hAnsi="Times New Roman"/>
          <w:b/>
          <w:sz w:val="22"/>
        </w:rPr>
        <w:tab/>
        <w:t>1</w:t>
      </w:r>
    </w:p>
    <w:p>
      <w:pPr>
        <w:tabs>
          <w:tab w:pos="9026" w:val="right" w:leader="dot"/>
        </w:tabs>
        <w:spacing w:line="312" w:lineRule="auto" w:after="120"/>
      </w:pPr>
      <w:r>
        <w:rPr>
          <w:rFonts w:ascii="Times New Roman" w:hAnsi="Times New Roman"/>
          <w:b/>
          <w:sz w:val="22"/>
        </w:rPr>
        <w:t>Table of Contents</w:t>
      </w:r>
      <w:r>
        <w:rPr>
          <w:rFonts w:ascii="Times New Roman" w:hAnsi="Times New Roman"/>
          <w:b/>
          <w:sz w:val="22"/>
        </w:rPr>
        <w:tab/>
        <w:t>2</w:t>
      </w:r>
    </w:p>
    <w:p>
      <w:pPr>
        <w:tabs>
          <w:tab w:pos="9026" w:val="right" w:leader="dot"/>
        </w:tabs>
        <w:spacing w:line="312" w:lineRule="auto" w:after="120"/>
      </w:pPr>
      <w:r>
        <w:rPr>
          <w:rFonts w:ascii="Times New Roman" w:hAnsi="Times New Roman"/>
          <w:b/>
          <w:sz w:val="22"/>
        </w:rPr>
        <w:t>1. Introduction</w:t>
      </w:r>
      <w:r>
        <w:rPr>
          <w:rFonts w:ascii="Times New Roman" w:hAnsi="Times New Roman"/>
          <w:b/>
          <w:sz w:val="22"/>
        </w:rPr>
        <w:tab/>
        <w:t>3</w:t>
      </w:r>
    </w:p>
    <w:p>
      <w:pPr>
        <w:tabs>
          <w:tab w:pos="9026" w:val="right" w:leader="dot"/>
        </w:tabs>
        <w:spacing w:line="312" w:lineRule="auto" w:after="120"/>
      </w:pPr>
      <w:r>
        <w:rPr>
          <w:rFonts w:ascii="Times New Roman" w:hAnsi="Times New Roman"/>
          <w:b/>
          <w:sz w:val="22"/>
        </w:rPr>
        <w:t>2. Strategic &amp; Historical Analysis</w:t>
      </w:r>
      <w:r>
        <w:rPr>
          <w:rFonts w:ascii="Times New Roman" w:hAnsi="Times New Roman"/>
          <w:b/>
          <w:sz w:val="22"/>
        </w:rPr>
        <w:tab/>
        <w:t>3</w:t>
      </w:r>
    </w:p>
    <w:p>
      <w:pPr>
        <w:tabs>
          <w:tab w:pos="9026" w:val="right" w:leader="dot"/>
        </w:tabs>
        <w:spacing w:line="312" w:lineRule="auto" w:after="120"/>
      </w:pPr>
      <w:r>
        <w:rPr>
          <w:rFonts w:ascii="Times New Roman" w:hAnsi="Times New Roman"/>
          <w:b/>
          <w:sz w:val="22"/>
        </w:rPr>
        <w:t>3. System Design &amp; Implementation</w:t>
      </w:r>
      <w:r>
        <w:rPr>
          <w:rFonts w:ascii="Times New Roman" w:hAnsi="Times New Roman"/>
          <w:b/>
          <w:sz w:val="22"/>
        </w:rPr>
        <w:tab/>
        <w:t>5</w:t>
      </w:r>
    </w:p>
    <w:p>
      <w:pPr>
        <w:tabs>
          <w:tab w:pos="9026" w:val="right" w:leader="dot"/>
        </w:tabs>
        <w:spacing w:line="312" w:lineRule="auto" w:after="120"/>
      </w:pPr>
      <w:r>
        <w:rPr>
          <w:rFonts w:ascii="Times New Roman" w:hAnsi="Times New Roman"/>
          <w:b/>
          <w:sz w:val="22"/>
        </w:rPr>
        <w:t>4. Stakeholder Analysis</w:t>
      </w:r>
      <w:r>
        <w:rPr>
          <w:rFonts w:ascii="Times New Roman" w:hAnsi="Times New Roman"/>
          <w:b/>
          <w:sz w:val="22"/>
        </w:rPr>
        <w:tab/>
        <w:t>6</w:t>
      </w:r>
    </w:p>
    <w:p>
      <w:pPr>
        <w:tabs>
          <w:tab w:pos="9026" w:val="right" w:leader="dot"/>
        </w:tabs>
        <w:spacing w:line="312" w:lineRule="auto" w:after="120"/>
      </w:pPr>
      <w:r>
        <w:rPr>
          <w:rFonts w:ascii="Times New Roman" w:hAnsi="Times New Roman"/>
          <w:b/>
          <w:sz w:val="22"/>
        </w:rPr>
        <w:t>5. Critical Evaluation</w:t>
      </w:r>
      <w:r>
        <w:rPr>
          <w:rFonts w:ascii="Times New Roman" w:hAnsi="Times New Roman"/>
          <w:b/>
          <w:sz w:val="22"/>
        </w:rPr>
        <w:tab/>
        <w:t>8</w:t>
      </w:r>
    </w:p>
    <w:p>
      <w:pPr>
        <w:tabs>
          <w:tab w:pos="9026" w:val="right" w:leader="dot"/>
        </w:tabs>
        <w:spacing w:line="312" w:lineRule="auto" w:after="120"/>
      </w:pPr>
      <w:r>
        <w:rPr>
          <w:rFonts w:ascii="Times New Roman" w:hAnsi="Times New Roman"/>
          <w:b/>
          <w:sz w:val="22"/>
        </w:rPr>
        <w:t>6. Policy Recommendation</w:t>
      </w:r>
      <w:r>
        <w:rPr>
          <w:rFonts w:ascii="Times New Roman" w:hAnsi="Times New Roman"/>
          <w:b/>
          <w:sz w:val="22"/>
        </w:rPr>
        <w:tab/>
        <w:t>9</w:t>
      </w:r>
    </w:p>
    <w:p>
      <w:pPr>
        <w:tabs>
          <w:tab w:pos="9026" w:val="right" w:leader="dot"/>
        </w:tabs>
        <w:spacing w:line="312" w:lineRule="auto" w:after="120"/>
      </w:pPr>
      <w:r>
        <w:rPr>
          <w:rFonts w:ascii="Times New Roman" w:hAnsi="Times New Roman"/>
          <w:b/>
          <w:sz w:val="22"/>
        </w:rPr>
        <w:t>7. Conclusion</w:t>
      </w:r>
      <w:r>
        <w:rPr>
          <w:rFonts w:ascii="Times New Roman" w:hAnsi="Times New Roman"/>
          <w:b/>
          <w:sz w:val="22"/>
        </w:rPr>
        <w:tab/>
        <w:t>10</w:t>
      </w:r>
    </w:p>
    <w:p>
      <w:pPr>
        <w:tabs>
          <w:tab w:pos="9026" w:val="right" w:leader="dot"/>
        </w:tabs>
        <w:spacing w:line="312" w:lineRule="auto" w:after="120"/>
      </w:pPr>
      <w:r>
        <w:rPr>
          <w:rFonts w:ascii="Times New Roman" w:hAnsi="Times New Roman"/>
          <w:b/>
          <w:sz w:val="22"/>
        </w:rPr>
        <w:t>8. References</w:t>
      </w:r>
      <w:r>
        <w:rPr>
          <w:rFonts w:ascii="Times New Roman" w:hAnsi="Times New Roman"/>
          <w:b/>
          <w:sz w:val="22"/>
        </w:rPr>
        <w:tab/>
        <w:t>10</w:t>
      </w:r>
    </w:p>
    <w:p>
      <w:r>
        <w:br w:type="page"/>
      </w:r>
    </w:p>
    <w:p>
      <w:pPr>
        <w:spacing w:after="120" w:before="240"/>
      </w:pPr>
      <w:r>
        <w:rPr>
          <w:rFonts w:ascii="Times New Roman" w:hAnsi="Times New Roman"/>
          <w:b/>
          <w:sz w:val="28"/>
        </w:rPr>
        <w:t>1. Introduction</w:t>
      </w:r>
    </w:p>
    <w:p>
      <w:pPr>
        <w:spacing w:line="360" w:lineRule="auto" w:after="120"/>
        <w:jc w:val="left"/>
      </w:pPr>
      <w:r>
        <w:rPr>
          <w:rFonts w:ascii="Times New Roman" w:hAnsi="Times New Roman"/>
          <w:sz w:val="24"/>
        </w:rPr>
        <w:t>At the turn of the twenty-first century, International Business Machines (IBM) faced a profound inflection point. Under the leadership of CEO Sam Palmisano, the company embarked on a radical strategic transformation, moving away from the traditional multinational corporation model toward what Palmisano conceptualized as the Globally Integrated Enterprise (GIE). In a GIE, production, service delivery, and operations are organized globally rather than on a country-by-country basis, seeking to optimize resources and locate work where skills and costs are most advantageous. As Palmisano (2006) noted, this model minimizes the significance of national borders and demands seamless cross-boundary collaboration.</w:t>
      </w:r>
    </w:p>
    <w:p>
      <w:pPr>
        <w:spacing w:line="360" w:lineRule="auto" w:after="120"/>
        <w:jc w:val="left"/>
      </w:pPr>
      <w:r>
        <w:rPr>
          <w:rFonts w:ascii="Times New Roman" w:hAnsi="Times New Roman"/>
          <w:sz w:val="24"/>
        </w:rPr>
        <w:t>Within this strategic context, human capital emerged as the ultimate source of competitive advantage. Unlike the manufacturing-intensive eras of IBM’s past, its modern value proposition rested almost entirely on the specialized knowledge, consulting expertise, and technical skills of its approximately 350,000 employees. However, the company’s legacy HR systems were highly fragmented, locally managed, and structurally incapable of supporting global agility.</w:t>
      </w:r>
    </w:p>
    <w:p>
      <w:pPr>
        <w:spacing w:line="360" w:lineRule="auto" w:after="120"/>
        <w:jc w:val="left"/>
      </w:pPr>
      <w:r>
        <w:rPr>
          <w:rFonts w:ascii="Times New Roman" w:hAnsi="Times New Roman"/>
          <w:sz w:val="24"/>
        </w:rPr>
        <w:t>The purpose of this report is to critically analyze IBM’s response to this challenge: the Workforce Management Initiative (WMI). Initiated in 2003 by Senior Vice President of Human Resources Randy MacDonald, the WMI aimed to treat talent with the same scientific rigor, visibility, and optimization principles traditionally applied to material supply chains. This report evaluates the development, implementation, and restructuring phases of the WMI across its multi-year evolution. By examining both the operational design of the Expertise Taxonomy and the structural redesign of the HR function, this analysis seeks to provide organizational leaders with a comprehensive evaluation of the GIE talent model, culminating in an evidence-based policy recommendation regarding its replicability in other large-scale global organizations.</w:t>
      </w:r>
    </w:p>
    <w:p>
      <w:pPr>
        <w:spacing w:after="120" w:before="240"/>
      </w:pPr>
      <w:r>
        <w:rPr>
          <w:rFonts w:ascii="Times New Roman" w:hAnsi="Times New Roman"/>
          <w:b/>
          <w:sz w:val="28"/>
        </w:rPr>
        <w:t>2. Strategic &amp; Historical Analysis</w:t>
      </w:r>
    </w:p>
    <w:p>
      <w:pPr>
        <w:spacing w:line="360" w:lineRule="auto" w:after="120"/>
        <w:jc w:val="left"/>
      </w:pPr>
      <w:r>
        <w:rPr>
          <w:rFonts w:ascii="Times New Roman" w:hAnsi="Times New Roman"/>
          <w:sz w:val="24"/>
        </w:rPr>
        <w:t>To understand the necessity of the WMI, one must examine the severe operational challenges that plagued IBM in the early 2000s. Despite the successful turnaround led by Lou Gerstner in the 1990s—which shifted the company’s focus from hardware products to integrated e-business and customer solutions—IBM’s workforce management remained dangerously decentralized. Each country and business unit operated as an independent silo, managing its own staff, recruitment, and contracting processes. This fragmentation led to several critical inefficiencies.</w:t>
      </w:r>
    </w:p>
    <w:p>
      <w:pPr>
        <w:spacing w:line="360" w:lineRule="auto" w:after="120"/>
        <w:jc w:val="left"/>
      </w:pPr>
      <w:r>
        <w:rPr>
          <w:rFonts w:ascii="Times New Roman" w:hAnsi="Times New Roman"/>
          <w:sz w:val="24"/>
        </w:rPr>
        <w:t>First, IBM suffered from low billable utilization rates in its massive consulting division, Global Business Services (GBS). Due to a lack of cross-regional visibility, hundreds of highly skilled consultants sat 'on the bench' in one country, costing the company millions, while simultaneous talent shortages delayed critical, high-value client projects in neighboring regions. This inability to match regional talent supply with global demand resulted in significant lost revenue and severely bottlenecked service delivery times.</w:t>
      </w:r>
    </w:p>
    <w:p>
      <w:pPr>
        <w:spacing w:line="360" w:lineRule="auto" w:after="120"/>
        <w:jc w:val="left"/>
      </w:pPr>
      <w:r>
        <w:rPr>
          <w:rFonts w:ascii="Times New Roman" w:hAnsi="Times New Roman"/>
          <w:sz w:val="24"/>
        </w:rPr>
        <w:t>Second, IBM’s talent sources were completely disconnected. Full-time employees, external contractors, and job applicants were managed through separate, uncoordinated systems. Consequently, IBM frequently hired external contractors at premium rates for roles that could have been filled by existing, underutilized employees, or duplicated recruitment efforts across different departments.</w:t>
      </w:r>
    </w:p>
    <w:p>
      <w:pPr>
        <w:spacing w:line="360" w:lineRule="auto" w:after="120"/>
        <w:jc w:val="left"/>
      </w:pPr>
      <w:r>
        <w:rPr>
          <w:rFonts w:ascii="Times New Roman" w:hAnsi="Times New Roman"/>
          <w:sz w:val="24"/>
        </w:rPr>
        <w:t>To resolve these systemic failures, Sam Palmisano and Randy MacDonald realized that incremental changes would be insufficient. They proposed the Workforce Management Initiative (WMI), envisioning a standardized, enterprise-wide global talent supply chain. The strategic goal was clear: to ensure that the company could deploy the right person with the right skills, at the right time, in the right place, and at the right cost (Boudreau, 2010).</w:t>
      </w:r>
    </w:p>
    <w:p>
      <w:pPr>
        <w:spacing w:line="360" w:lineRule="auto" w:after="120"/>
        <w:jc w:val="left"/>
      </w:pPr>
      <w:r>
        <w:rPr>
          <w:rFonts w:ascii="Times New Roman" w:hAnsi="Times New Roman"/>
          <w:sz w:val="24"/>
        </w:rPr>
        <w:t>Achieving this vision required a massive capital commitment, with an estimated investment exceeding US$100 million over a five-year period. This decision represented a significant strategic gamble. HR investments of this scale were unprecedented and faced intense scrutiny from the Board of Directors and business unit heads. Critics questioned whether human capabilities—complex, emotional, and highly contextual—could be modeled and managed like raw physical inventory in a supply chain (Cappelli, 2008).</w:t>
      </w:r>
    </w:p>
    <w:p>
      <w:pPr>
        <w:spacing w:line="360" w:lineRule="auto" w:after="120"/>
        <w:jc w:val="left"/>
      </w:pPr>
      <w:r>
        <w:rPr>
          <w:rFonts w:ascii="Times New Roman" w:hAnsi="Times New Roman"/>
          <w:sz w:val="24"/>
        </w:rPr>
        <w:t>Furthermore, the initiative was complicated by serious global challenges, including diverse international labor laws, stringent data privacy regulations (especially in the European Union), and the logistical complexities of international mobility, taxation, and benefits. Despite these hurdles, IBM’s leadership recognized that in a rapidly globalizing service economy, the cost of inaction was far higher. Investing in the WMI was not merely an HR upgrade, but a fundamental business necessity required to sustain IBM's position as a leading global integrator.</w:t>
      </w:r>
    </w:p>
    <w:p>
      <w:pPr>
        <w:spacing w:after="120" w:before="240"/>
      </w:pPr>
      <w:r>
        <w:rPr>
          <w:rFonts w:ascii="Times New Roman" w:hAnsi="Times New Roman"/>
          <w:b/>
          <w:sz w:val="28"/>
        </w:rPr>
        <w:t>3. System Design &amp; Implementation</w:t>
      </w:r>
    </w:p>
    <w:p>
      <w:pPr>
        <w:spacing w:line="360" w:lineRule="auto" w:after="120"/>
        <w:jc w:val="left"/>
      </w:pPr>
      <w:r>
        <w:rPr>
          <w:rFonts w:ascii="Times New Roman" w:hAnsi="Times New Roman"/>
          <w:sz w:val="24"/>
        </w:rPr>
        <w:t>The foundational centerpiece of the WMI was the creation of a standardized, enterprise-wide global 'common language'—the Expertise Taxonomy. Prior to this, IBM had no uniform method for describing work. Job descriptions were written locally, resulting in a chaotic web of titles where the same job title meant entirely different things in different countries, or different titles were used for identical skill sets. This lack of standardization made cross-border talent deployment and skill comparison impossible, forcing managers to rely on informal, personal networks to staff projects.</w:t>
      </w:r>
    </w:p>
    <w:p>
      <w:pPr>
        <w:spacing w:line="360" w:lineRule="auto" w:after="120"/>
        <w:jc w:val="left"/>
      </w:pPr>
      <w:r>
        <w:rPr>
          <w:rFonts w:ascii="Times New Roman" w:hAnsi="Times New Roman"/>
          <w:sz w:val="24"/>
        </w:rPr>
        <w:t>To replace these obsolete methods, IBM designed a highly structured, five-level hierarchical Expertise Taxonomy (Boudreau, 2010):</w:t>
      </w:r>
    </w:p>
    <w:p>
      <w:pPr>
        <w:spacing w:line="360" w:lineRule="auto" w:after="120"/>
        <w:jc w:val="left"/>
      </w:pPr>
      <w:r>
        <w:rPr>
          <w:rFonts w:ascii="Times New Roman" w:hAnsi="Times New Roman"/>
          <w:sz w:val="24"/>
        </w:rPr>
        <w:t>1. Primary Job Category (PJC): A broad classification of work representing major functional domains, such as 'IT Specialist' or 'Consultant.'</w:t>
      </w:r>
    </w:p>
    <w:p>
      <w:pPr>
        <w:spacing w:line="360" w:lineRule="auto" w:after="120"/>
        <w:jc w:val="left"/>
      </w:pPr>
      <w:r>
        <w:rPr>
          <w:rFonts w:ascii="Times New Roman" w:hAnsi="Times New Roman"/>
          <w:sz w:val="24"/>
        </w:rPr>
        <w:t>2. Secondary Job Category (SJC): A more refined type of work within a PJC, such as 'Technical Services.'</w:t>
      </w:r>
    </w:p>
    <w:p>
      <w:pPr>
        <w:spacing w:line="360" w:lineRule="auto" w:after="120"/>
        <w:jc w:val="left"/>
      </w:pPr>
      <w:r>
        <w:rPr>
          <w:rFonts w:ascii="Times New Roman" w:hAnsi="Times New Roman"/>
          <w:sz w:val="24"/>
        </w:rPr>
        <w:t>3. Job Role (JR): A specific cluster of responsibilities performed by an individual, such as 'Client Infrastructure Specialist.'</w:t>
      </w:r>
    </w:p>
    <w:p>
      <w:pPr>
        <w:spacing w:line="360" w:lineRule="auto" w:after="120"/>
        <w:jc w:val="left"/>
      </w:pPr>
      <w:r>
        <w:rPr>
          <w:rFonts w:ascii="Times New Roman" w:hAnsi="Times New Roman"/>
          <w:sz w:val="24"/>
        </w:rPr>
        <w:t>4. Job Role Skill Set (JRSS): A highly detailed specialization within a job role, such as 'Asset Reuse.'</w:t>
      </w:r>
    </w:p>
    <w:p>
      <w:pPr>
        <w:spacing w:line="360" w:lineRule="auto" w:after="120"/>
        <w:jc w:val="left"/>
      </w:pPr>
      <w:r>
        <w:rPr>
          <w:rFonts w:ascii="Times New Roman" w:hAnsi="Times New Roman"/>
          <w:sz w:val="24"/>
        </w:rPr>
        <w:t>5. Skills: The specific, atomic units of knowledge, tools, and technical abilities required to perform the JRSS, such as 'Implement Asset Management Services.'</w:t>
      </w:r>
    </w:p>
    <w:p>
      <w:pPr>
        <w:spacing w:line="360" w:lineRule="auto" w:after="120"/>
        <w:jc w:val="left"/>
      </w:pPr>
      <w:r>
        <w:rPr>
          <w:rFonts w:ascii="Times New Roman" w:hAnsi="Times New Roman"/>
          <w:sz w:val="24"/>
        </w:rPr>
        <w:t>This structured hierarchy allowed IBM to categorize and search for specific capabilities globally, much like tracking product inventory using barcodes or SKUs in a warehouse.</w:t>
      </w:r>
    </w:p>
    <w:p>
      <w:pPr>
        <w:spacing w:line="360" w:lineRule="auto" w:after="120"/>
        <w:jc w:val="left"/>
      </w:pPr>
      <w:r>
        <w:rPr>
          <w:rFonts w:ascii="Times New Roman" w:hAnsi="Times New Roman"/>
          <w:sz w:val="24"/>
        </w:rPr>
        <w:t>To ensure the taxonomy remained a living, accurate system, IBM established a rigorous governance framework. Rather than allowing HR to define work in a top-down, bureaucratic fashion, IBM adopted the core principle that the people performing the work are the true experts. Consequently, HR’s role shifted from being the creator of job profiles to a facilitator and governance manager.</w:t>
      </w:r>
    </w:p>
    <w:p>
      <w:pPr>
        <w:spacing w:line="360" w:lineRule="auto" w:after="120"/>
        <w:jc w:val="left"/>
      </w:pPr>
      <w:r>
        <w:rPr>
          <w:rFonts w:ascii="Times New Roman" w:hAnsi="Times New Roman"/>
          <w:sz w:val="24"/>
        </w:rPr>
        <w:t>IBM appointed 'Taxonomy Stewards'—senior business professionals within each practice area—responsible for monitoring the validity, reviewing changes, and ensuring the taxonomy’s relevance to industry trends. A centralized Governance Board was established to maintain consistency, approve updates, and resolve disputes, preventing the taxonomy from expanding uncontrollably. This governance was critical: in 2005, the initial taxonomy comprised over 650 job roles. Through rigorous consolidation and elimination of duplicates, the Governance Board successfully reduced this number to 331 roles by 2008, and eventually to fewer than 300 by 2009, significantly simplifying the system.</w:t>
      </w:r>
    </w:p>
    <w:p>
      <w:pPr>
        <w:spacing w:line="360" w:lineRule="auto" w:after="120"/>
        <w:jc w:val="left"/>
      </w:pPr>
      <w:r>
        <w:rPr>
          <w:rFonts w:ascii="Times New Roman" w:hAnsi="Times New Roman"/>
          <w:sz w:val="24"/>
        </w:rPr>
        <w:t>The implementation of the Expertise Taxonomy provided immediate lessons, particularly from the management of external contractors. By applying the taxonomy to the 90,000 contractors alongside the 350,000 full-time employees, IBM created a single, integrated talent ecosystem. This allowed managers to compare the skills and costs of internal versus external talent in real time. It revealed that contractors were often utilized in roles where internal talent was available but invisible, leading to direct cost-saving opportunities through contractor optimization and improved internal deployment.</w:t>
      </w:r>
    </w:p>
    <w:p>
      <w:pPr>
        <w:spacing w:after="120" w:before="240"/>
      </w:pPr>
      <w:r>
        <w:rPr>
          <w:rFonts w:ascii="Times New Roman" w:hAnsi="Times New Roman"/>
          <w:b/>
          <w:sz w:val="28"/>
        </w:rPr>
        <w:t>4. Stakeholder Analysis</w:t>
      </w:r>
    </w:p>
    <w:p>
      <w:pPr>
        <w:spacing w:line="360" w:lineRule="auto" w:after="120"/>
        <w:jc w:val="left"/>
      </w:pPr>
      <w:r>
        <w:rPr>
          <w:rFonts w:ascii="Times New Roman" w:hAnsi="Times New Roman"/>
          <w:sz w:val="24"/>
        </w:rPr>
        <w:t>The success of the WMI depended heavily on navigating the diverse and often competing interests of key stakeholders within and outside IBM. Understanding these dynamics is essential for evaluating the system’s design and implementation. A comprehensive analysis reveals the distinct priorities and concerns of each major stakeholder group:</w:t>
      </w:r>
    </w:p>
    <w:p>
      <w:pPr>
        <w:spacing w:line="360" w:lineRule="auto" w:after="120"/>
        <w:jc w:val="left"/>
      </w:pPr>
      <w:r>
        <w:rPr>
          <w:rFonts w:ascii="Times New Roman" w:hAnsi="Times New Roman"/>
          <w:sz w:val="24"/>
        </w:rPr>
        <w:t>First, Senior HR Leadership (e.g., Randy MacDonald) had a primary interest to transform HR from an administrative cost-center into a strategic, data-driven partner that directly supports business outcomes. They sought global standardization, process efficiency, and a clear, measurable return on investment (ROI) to justify the US$100 million expenditure. Their main challenge was overcoming organizational inertia and driving cultural change across a massive global footprint.</w:t>
      </w:r>
    </w:p>
    <w:p>
      <w:pPr>
        <w:spacing w:line="360" w:lineRule="auto" w:after="120"/>
        <w:jc w:val="left"/>
      </w:pPr>
      <w:r>
        <w:rPr>
          <w:rFonts w:ascii="Times New Roman" w:hAnsi="Times New Roman"/>
          <w:sz w:val="24"/>
        </w:rPr>
        <w:t>Second, Business Unit Managers (Line Managers) were primarily concerned with project delivery times, cost management, and client satisfaction. They demanded immediate, frictionless access to qualified talent to fill project vacancies. Initially, many line managers resisted the WMI, fearing that a centralized, standardized system would limit their autonomy, ignore local market nuances, and replace their trusted personal networks with a rigid, automated database.</w:t>
      </w:r>
    </w:p>
    <w:p>
      <w:pPr>
        <w:spacing w:line="360" w:lineRule="auto" w:after="120"/>
        <w:jc w:val="left"/>
      </w:pPr>
      <w:r>
        <w:rPr>
          <w:rFonts w:ascii="Times New Roman" w:hAnsi="Times New Roman"/>
          <w:sz w:val="24"/>
        </w:rPr>
        <w:t>Third, Full-Time Employees (IBMers) sought career development, transparent job progression, and access to learning opportunities. While they appreciated the visibility of global job openings through the Global Opportunity Marketplace, they also harbored deep anxieties. Many feared that the supply chain metaphor reduced them to interchangeable 'parts' or 'commodities.' They were also highly concerned about data privacy and how their self-assessed skill profiles would impact their performance evaluations and job security.</w:t>
      </w:r>
    </w:p>
    <w:p>
      <w:pPr>
        <w:spacing w:line="360" w:lineRule="auto" w:after="120"/>
        <w:jc w:val="left"/>
      </w:pPr>
      <w:r>
        <w:rPr>
          <w:rFonts w:ascii="Times New Roman" w:hAnsi="Times New Roman"/>
          <w:sz w:val="24"/>
        </w:rPr>
        <w:t>Fourth, Contractors and External Labor Suppliers wanted steady project pipelines, competitive rates, and smooth onboarding. External suppliers sought predictable demand and clear talent specifications. The WMI forced them to adopt IBM's Expertise Taxonomy, which standardizes their capabilities but also placed downward pressure on contractor costs, as IBM could now easily identify cheaper internal or external alternatives.</w:t>
      </w:r>
    </w:p>
    <w:p>
      <w:pPr>
        <w:spacing w:line="360" w:lineRule="auto" w:after="120"/>
        <w:jc w:val="left"/>
      </w:pPr>
      <w:r>
        <w:rPr>
          <w:rFonts w:ascii="Times New Roman" w:hAnsi="Times New Roman"/>
          <w:sz w:val="24"/>
        </w:rPr>
        <w:t>To visualize these dynamics, Table 1: Stakeholder Interests and WMI Impact outlines the competing priorities and the corresponding design elements implemented to address them.</w:t>
      </w:r>
    </w:p>
    <w:p>
      <w:pPr>
        <w:spacing w:after="120" w:before="240"/>
      </w:pPr>
      <w:r>
        <w:rPr>
          <w:rFonts w:ascii="Times New Roman" w:hAnsi="Times New Roman"/>
          <w:b/>
          <w:sz w:val="22"/>
        </w:rPr>
        <w:t>Table 1: Stakeholder Interests and WMI Impact</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spacing w:after="40" w:before="40"/>
            </w:pPr>
            <w:r>
              <w:rPr>
                <w:rFonts w:ascii="Times New Roman" w:hAnsi="Times New Roman"/>
                <w:b/>
                <w:sz w:val="20"/>
              </w:rPr>
              <w:t>Stakeholder Group</w:t>
            </w:r>
          </w:p>
        </w:tc>
        <w:tc>
          <w:tcPr>
            <w:tcW w:type="dxa" w:w="2256"/>
          </w:tcPr>
          <w:p>
            <w:pPr>
              <w:spacing w:after="40" w:before="40"/>
            </w:pPr>
            <w:r>
              <w:rPr>
                <w:rFonts w:ascii="Times New Roman" w:hAnsi="Times New Roman"/>
                <w:b/>
                <w:sz w:val="20"/>
              </w:rPr>
              <w:t>Core Interests / Priorities</w:t>
            </w:r>
          </w:p>
        </w:tc>
        <w:tc>
          <w:tcPr>
            <w:tcW w:type="dxa" w:w="2256"/>
          </w:tcPr>
          <w:p>
            <w:pPr>
              <w:spacing w:after="40" w:before="40"/>
            </w:pPr>
            <w:r>
              <w:rPr>
                <w:rFonts w:ascii="Times New Roman" w:hAnsi="Times New Roman"/>
                <w:b/>
                <w:sz w:val="20"/>
              </w:rPr>
              <w:t>Key Concerns or Sources of Resistance</w:t>
            </w:r>
          </w:p>
        </w:tc>
        <w:tc>
          <w:tcPr>
            <w:tcW w:type="dxa" w:w="2256"/>
          </w:tcPr>
          <w:p>
            <w:pPr>
              <w:spacing w:after="40" w:before="40"/>
            </w:pPr>
            <w:r>
              <w:rPr>
                <w:rFonts w:ascii="Times New Roman" w:hAnsi="Times New Roman"/>
                <w:b/>
                <w:sz w:val="20"/>
              </w:rPr>
              <w:t>WMI Design Response / Mitigation</w:t>
            </w:r>
          </w:p>
        </w:tc>
      </w:tr>
      <w:tr>
        <w:tc>
          <w:tcPr>
            <w:tcW w:type="dxa" w:w="2256"/>
          </w:tcPr>
          <w:p>
            <w:pPr>
              <w:spacing w:after="40" w:before="40"/>
            </w:pPr>
            <w:r>
              <w:rPr>
                <w:rFonts w:ascii="Times New Roman" w:hAnsi="Times New Roman"/>
                <w:sz w:val="20"/>
              </w:rPr>
              <w:t>Senior HR Leadership</w:t>
            </w:r>
          </w:p>
        </w:tc>
        <w:tc>
          <w:tcPr>
            <w:tcW w:type="dxa" w:w="2256"/>
          </w:tcPr>
          <w:p>
            <w:pPr>
              <w:spacing w:after="40" w:before="40"/>
            </w:pPr>
            <w:r>
              <w:rPr>
                <w:rFonts w:ascii="Times New Roman" w:hAnsi="Times New Roman"/>
                <w:sz w:val="20"/>
              </w:rPr>
              <w:t>Transform HR into a strategic, data-driven partner; global process standardization; maximize talent utilization and project ROI.</w:t>
            </w:r>
          </w:p>
        </w:tc>
        <w:tc>
          <w:tcPr>
            <w:tcW w:type="dxa" w:w="2256"/>
          </w:tcPr>
          <w:p>
            <w:pPr>
              <w:spacing w:after="40" w:before="40"/>
            </w:pPr>
            <w:r>
              <w:rPr>
                <w:rFonts w:ascii="Times New Roman" w:hAnsi="Times New Roman"/>
                <w:sz w:val="20"/>
              </w:rPr>
              <w:t>Organizational resistance; massive capital requirements (US$100M+); integration of highly fragmented local legacy database systems.</w:t>
            </w:r>
          </w:p>
        </w:tc>
        <w:tc>
          <w:tcPr>
            <w:tcW w:type="dxa" w:w="2256"/>
          </w:tcPr>
          <w:p>
            <w:pPr>
              <w:spacing w:after="40" w:before="40"/>
            </w:pPr>
            <w:r>
              <w:rPr>
                <w:rFonts w:ascii="Times New Roman" w:hAnsi="Times New Roman"/>
                <w:sz w:val="20"/>
              </w:rPr>
              <w:t>Designed rigorous quantitative KPIs (utilization rate, financial ROI); established Globally Integrated Support Functions (GISF) structure.</w:t>
            </w:r>
          </w:p>
        </w:tc>
      </w:tr>
      <w:tr>
        <w:tc>
          <w:tcPr>
            <w:tcW w:type="dxa" w:w="2256"/>
          </w:tcPr>
          <w:p>
            <w:pPr>
              <w:spacing w:after="40" w:before="40"/>
            </w:pPr>
            <w:r>
              <w:rPr>
                <w:rFonts w:ascii="Times New Roman" w:hAnsi="Times New Roman"/>
                <w:sz w:val="20"/>
              </w:rPr>
              <w:t>Business Unit Managers</w:t>
            </w:r>
          </w:p>
        </w:tc>
        <w:tc>
          <w:tcPr>
            <w:tcW w:type="dxa" w:w="2256"/>
          </w:tcPr>
          <w:p>
            <w:pPr>
              <w:spacing w:after="40" w:before="40"/>
            </w:pPr>
            <w:r>
              <w:rPr>
                <w:rFonts w:ascii="Times New Roman" w:hAnsi="Times New Roman"/>
                <w:sz w:val="20"/>
              </w:rPr>
              <w:t>On-time project delivery; cost containment; immediate, frictionless access to highly qualified technical talent.</w:t>
            </w:r>
          </w:p>
        </w:tc>
        <w:tc>
          <w:tcPr>
            <w:tcW w:type="dxa" w:w="2256"/>
          </w:tcPr>
          <w:p>
            <w:pPr>
              <w:spacing w:after="40" w:before="40"/>
            </w:pPr>
            <w:r>
              <w:rPr>
                <w:rFonts w:ascii="Times New Roman" w:hAnsi="Times New Roman"/>
                <w:sz w:val="20"/>
              </w:rPr>
              <w:t>Fear of losing autonomy in talent selection; erosion of local market nuances; reliance on automated databases over trusted personal networks.</w:t>
            </w:r>
          </w:p>
        </w:tc>
        <w:tc>
          <w:tcPr>
            <w:tcW w:type="dxa" w:w="2256"/>
          </w:tcPr>
          <w:p>
            <w:pPr>
              <w:spacing w:after="40" w:before="40"/>
            </w:pPr>
            <w:r>
              <w:rPr>
                <w:rFonts w:ascii="Times New Roman" w:hAnsi="Times New Roman"/>
                <w:sz w:val="20"/>
              </w:rPr>
              <w:t>Implemented the 'dual-hatting' model blending functional HR leadership with business-unit partner roles; created real-time staffing dashboards.</w:t>
            </w:r>
          </w:p>
        </w:tc>
      </w:tr>
      <w:tr>
        <w:tc>
          <w:tcPr>
            <w:tcW w:type="dxa" w:w="2256"/>
          </w:tcPr>
          <w:p>
            <w:pPr>
              <w:spacing w:after="40" w:before="40"/>
            </w:pPr>
            <w:r>
              <w:rPr>
                <w:rFonts w:ascii="Times New Roman" w:hAnsi="Times New Roman"/>
                <w:sz w:val="20"/>
              </w:rPr>
              <w:t>Full-Time Employees</w:t>
            </w:r>
          </w:p>
        </w:tc>
        <w:tc>
          <w:tcPr>
            <w:tcW w:type="dxa" w:w="2256"/>
          </w:tcPr>
          <w:p>
            <w:pPr>
              <w:spacing w:after="40" w:before="40"/>
            </w:pPr>
            <w:r>
              <w:rPr>
                <w:rFonts w:ascii="Times New Roman" w:hAnsi="Times New Roman"/>
                <w:sz w:val="20"/>
              </w:rPr>
              <w:t>Career visibility; clear, merit-based talent development; international mobility; long-term employability.</w:t>
            </w:r>
          </w:p>
        </w:tc>
        <w:tc>
          <w:tcPr>
            <w:tcW w:type="dxa" w:w="2256"/>
          </w:tcPr>
          <w:p>
            <w:pPr>
              <w:spacing w:after="40" w:before="40"/>
            </w:pPr>
            <w:r>
              <w:rPr>
                <w:rFonts w:ascii="Times New Roman" w:hAnsi="Times New Roman"/>
                <w:sz w:val="20"/>
              </w:rPr>
              <w:t>Fears of commoditization and being reduced to 'barcodes'; self-assessment bias and subjectivity; data privacy in profile visibility.</w:t>
            </w:r>
          </w:p>
        </w:tc>
        <w:tc>
          <w:tcPr>
            <w:tcW w:type="dxa" w:w="2256"/>
          </w:tcPr>
          <w:p>
            <w:pPr>
              <w:spacing w:after="40" w:before="40"/>
            </w:pPr>
            <w:r>
              <w:rPr>
                <w:rFonts w:ascii="Times New Roman" w:hAnsi="Times New Roman"/>
                <w:sz w:val="20"/>
              </w:rPr>
              <w:t>Launched Global Opportunity Marketplace; linked 40,000+ learning assets directly to skills; established robust internal data privacy filters.</w:t>
            </w:r>
          </w:p>
        </w:tc>
      </w:tr>
      <w:tr>
        <w:tc>
          <w:tcPr>
            <w:tcW w:type="dxa" w:w="2256"/>
          </w:tcPr>
          <w:p>
            <w:pPr>
              <w:spacing w:after="40" w:before="40"/>
            </w:pPr>
            <w:r>
              <w:rPr>
                <w:rFonts w:ascii="Times New Roman" w:hAnsi="Times New Roman"/>
                <w:sz w:val="20"/>
              </w:rPr>
              <w:t>Contractors &amp; Vendors</w:t>
            </w:r>
          </w:p>
        </w:tc>
        <w:tc>
          <w:tcPr>
            <w:tcW w:type="dxa" w:w="2256"/>
          </w:tcPr>
          <w:p>
            <w:pPr>
              <w:spacing w:after="40" w:before="40"/>
            </w:pPr>
            <w:r>
              <w:rPr>
                <w:rFonts w:ascii="Times New Roman" w:hAnsi="Times New Roman"/>
                <w:sz w:val="20"/>
              </w:rPr>
              <w:t>Predictable project pipeline; clear skill specifications; fair rates and standard onboarding.</w:t>
            </w:r>
          </w:p>
        </w:tc>
        <w:tc>
          <w:tcPr>
            <w:tcW w:type="dxa" w:w="2256"/>
          </w:tcPr>
          <w:p>
            <w:pPr>
              <w:spacing w:after="40" w:before="40"/>
            </w:pPr>
            <w:r>
              <w:rPr>
                <w:rFonts w:ascii="Times New Roman" w:hAnsi="Times New Roman"/>
                <w:sz w:val="20"/>
              </w:rPr>
              <w:t>Downward pressure on contracting rates; mandatory adaptation of capabilities to IBM's proprietary Expertise Taxonomy.</w:t>
            </w:r>
          </w:p>
        </w:tc>
        <w:tc>
          <w:tcPr>
            <w:tcW w:type="dxa" w:w="2256"/>
          </w:tcPr>
          <w:p>
            <w:pPr>
              <w:spacing w:after="40" w:before="40"/>
            </w:pPr>
            <w:r>
              <w:rPr>
                <w:rFonts w:ascii="Times New Roman" w:hAnsi="Times New Roman"/>
                <w:sz w:val="20"/>
              </w:rPr>
              <w:t>Standardized external contractor sourcing; integrated external talent database into the broader WMI global talent marketplace.</w:t>
            </w:r>
          </w:p>
        </w:tc>
      </w:tr>
    </w:tbl>
    <w:p>
      <w:pPr>
        <w:spacing w:after="120"/>
      </w:pPr>
    </w:p>
    <w:p>
      <w:pPr>
        <w:spacing w:after="120" w:before="240"/>
      </w:pPr>
      <w:r>
        <w:rPr>
          <w:rFonts w:ascii="Times New Roman" w:hAnsi="Times New Roman"/>
          <w:b/>
          <w:sz w:val="28"/>
        </w:rPr>
        <w:t>5. Critical Evaluation</w:t>
      </w:r>
    </w:p>
    <w:p>
      <w:pPr>
        <w:spacing w:line="360" w:lineRule="auto" w:after="120"/>
        <w:jc w:val="left"/>
      </w:pPr>
      <w:r>
        <w:rPr>
          <w:rFonts w:ascii="Times New Roman" w:hAnsi="Times New Roman"/>
          <w:sz w:val="24"/>
        </w:rPr>
        <w:t>An objective evaluation of the WMI reveals a highly successful initiative that nevertheless introduced complex organizational challenges. On a quantitative level, the operational and financial returns of the WMI are indisputable. Between 2003 and 2008, IBM’s billable utilization rate in its consulting division increased by nine percentage points. In a services business, even a single-percentage-point increase in utilization translates to tens of millions of dollars in pure profit.</w:t>
      </w:r>
    </w:p>
    <w:p>
      <w:pPr>
        <w:spacing w:line="360" w:lineRule="auto" w:after="120"/>
        <w:jc w:val="left"/>
      </w:pPr>
      <w:r>
        <w:rPr>
          <w:rFonts w:ascii="Times New Roman" w:hAnsi="Times New Roman"/>
          <w:sz w:val="24"/>
        </w:rPr>
        <w:t>Financially, the total investment in the WMI grew to US$230 million over five years, but it generated an astonishing US$1.5 billion in total business benefits, including US$453 million in direct, bottom-line savings (Boudreau, 2010). These savings were driven by the optimization of contractor spend, reduced recruitment duplication, and minimized bench time. From an employment branding perspective, the initiative positioned IBM as a forward-thinking, cutting-edge employer that offered 'lifetime employability' through continuous skill development rather than the outdated promise of lifetime employment.</w:t>
      </w:r>
    </w:p>
    <w:p>
      <w:pPr>
        <w:spacing w:line="360" w:lineRule="auto" w:after="120"/>
        <w:jc w:val="left"/>
      </w:pPr>
      <w:r>
        <w:rPr>
          <w:rFonts w:ascii="Times New Roman" w:hAnsi="Times New Roman"/>
          <w:sz w:val="24"/>
        </w:rPr>
        <w:t>However, the WMI’s heavily data-driven approach raised significant qualitative concerns. First, the supply-chain metaphor applied to human capital—where employees are managed like inventory or raw materials—risks commoditizing the workforce. By reducing complex human beings to a list of standardized skills and taxonomies, the system can overlook critical 'soft' human values such as emotional intelligence, loyalty, team chemistry, and intrinsic motivation. If managed purely through database queries, the employment relationship risks becoming purely transactional, which can severely damage employee engagement and trust in the long run.</w:t>
      </w:r>
    </w:p>
    <w:p>
      <w:pPr>
        <w:spacing w:line="360" w:lineRule="auto" w:after="120"/>
        <w:jc w:val="left"/>
      </w:pPr>
      <w:r>
        <w:rPr>
          <w:rFonts w:ascii="Times New Roman" w:hAnsi="Times New Roman"/>
          <w:sz w:val="24"/>
        </w:rPr>
        <w:t>Second, equity and accountability concerns emerged regarding the self-assessment and verification of skills. In a system where visibility for global assignments depends on one's skill profile, there is a strong incentive for employees to overstate their capabilities. While the governance framework required manager validation, this placed a heavy administrative burden on line managers, leading to inconsistent standards and potential biases where certain managers validated skills more leniently than others.</w:t>
      </w:r>
    </w:p>
    <w:p>
      <w:pPr>
        <w:spacing w:line="360" w:lineRule="auto" w:after="120"/>
        <w:jc w:val="left"/>
      </w:pPr>
      <w:r>
        <w:rPr>
          <w:rFonts w:ascii="Times New Roman" w:hAnsi="Times New Roman"/>
          <w:sz w:val="24"/>
        </w:rPr>
        <w:t>Third, the centralization of global data clashed directly with regional legal environments, particularly European works councils and stringent data privacy laws. These regulations restricted the cross-border sharing of detailed employee profiles, threatening the global visibility that was the very foundation of the WMI.</w:t>
      </w:r>
    </w:p>
    <w:p>
      <w:pPr>
        <w:spacing w:line="360" w:lineRule="auto" w:after="120"/>
        <w:jc w:val="left"/>
      </w:pPr>
      <w:r>
        <w:rPr>
          <w:rFonts w:ascii="Times New Roman" w:hAnsi="Times New Roman"/>
          <w:sz w:val="24"/>
        </w:rPr>
        <w:t>Finally, as detailed in Part C, the radical restructuring of the HR function into Globally Integrated Support Functions (GISF)—and the introduction of the 'dual-hatting' model—demanded a completely new set of competencies. HR leaders were suddenly expected to act as both functional experts and strategic business partners. Many traditional HR professionals lacked the deep business acumen and analytical skills required to operate in this new model. This skill gap created transition bottlenecks and internal resistance, highlighting that technology and structural redesign are only as effective as the capabilities of the people operating them.</w:t>
      </w:r>
    </w:p>
    <w:p>
      <w:pPr>
        <w:spacing w:after="120" w:before="240"/>
      </w:pPr>
      <w:r>
        <w:rPr>
          <w:rFonts w:ascii="Times New Roman" w:hAnsi="Times New Roman"/>
          <w:b/>
          <w:sz w:val="28"/>
        </w:rPr>
        <w:t>6. Policy Recommendation</w:t>
      </w:r>
    </w:p>
    <w:p>
      <w:pPr>
        <w:spacing w:line="360" w:lineRule="auto" w:after="120"/>
        <w:jc w:val="left"/>
      </w:pPr>
      <w:r>
        <w:rPr>
          <w:rFonts w:ascii="Times New Roman" w:hAnsi="Times New Roman"/>
          <w:sz w:val="24"/>
        </w:rPr>
        <w:t>Based on IBM's experience, other large, multinational organizations should not blindly replicate the WMI model; instead, they should adopt a highly tailored, adapted approach. The WMI is not a plug-and-play HR software package but a complex, socio-technical system that requires specific organizational conditions to succeed. Therefore, before embarking on a similar transformation, a Chief Human Resources Officer (CHRO) must evaluate several critical transferability conditions.</w:t>
      </w:r>
    </w:p>
    <w:p>
      <w:pPr>
        <w:spacing w:line="360" w:lineRule="auto" w:after="120"/>
        <w:jc w:val="left"/>
      </w:pPr>
      <w:r>
        <w:rPr>
          <w:rFonts w:ascii="Times New Roman" w:hAnsi="Times New Roman"/>
          <w:sz w:val="24"/>
        </w:rPr>
        <w:t>First, strategic alignment and scale are paramount. A standardized global taxonomy is only viable for organizations with a massive, highly diversified, and mobile workforce (typically exceeding 50,000 employees) operating in a knowledge-intensive or services-oriented industry where human capital is the primary driver of value. For smaller or manufacturing-focused companies, the massive cost of developing and maintaining a dynamic taxonomy—which exceeded US$230 million for IBM—would far outweigh the benefits.</w:t>
      </w:r>
    </w:p>
    <w:p>
      <w:pPr>
        <w:spacing w:line="360" w:lineRule="auto" w:after="120"/>
        <w:jc w:val="left"/>
      </w:pPr>
      <w:r>
        <w:rPr>
          <w:rFonts w:ascii="Times New Roman" w:hAnsi="Times New Roman"/>
          <w:sz w:val="24"/>
        </w:rPr>
        <w:t>Second, the organization must establish a robust, decentralized governance structure before building the database. Replicating IBM's 'Taxonomy Stewards' model is essential. Governance must be driven by the business units, not by HR alone, to ensure that the skills database remains accurate, updated, and aligned with market realities. Without this, the taxonomy will rapidly become obsolete.</w:t>
      </w:r>
    </w:p>
    <w:p>
      <w:pPr>
        <w:spacing w:line="360" w:lineRule="auto" w:after="120"/>
        <w:jc w:val="left"/>
      </w:pPr>
      <w:r>
        <w:rPr>
          <w:rFonts w:ascii="Times New Roman" w:hAnsi="Times New Roman"/>
          <w:sz w:val="24"/>
        </w:rPr>
        <w:t>Third, organizations must integrate the hard and soft sides of talent management. While data analytics are essential for forecasting and capacity planning, talent deployment decisions must never be automated entirely. A hybrid approach must be maintained, where analytical tools provide a short-list of qualified candidates, but line managers and HR business partners make the final placement decisions based on 'soft' qualitative factors such as team dynamics, personal aspiration, and cultural fit.</w:t>
      </w:r>
    </w:p>
    <w:p>
      <w:pPr>
        <w:spacing w:line="360" w:lineRule="auto" w:after="120"/>
        <w:jc w:val="left"/>
      </w:pPr>
      <w:r>
        <w:rPr>
          <w:rFonts w:ascii="Times New Roman" w:hAnsi="Times New Roman"/>
          <w:sz w:val="24"/>
        </w:rPr>
        <w:t>Finally, the CHRO must invest heavily in developing HR capabilities. Before restructuring, the organization must run comprehensive training programs to build business acumen and analytical literacy within the HR team. To mitigate data privacy risks, the system must be built with a 'privacy-by-design' architecture that complies with local regulations (such as GDPR) by allowing regional filtering and employee-controlled data sharing. Under these strict conditions, adapting the globally integrated HR model can deliver sustainable competitive advantage.</w:t>
      </w:r>
    </w:p>
    <w:p>
      <w:pPr>
        <w:spacing w:after="120" w:before="240"/>
      </w:pPr>
      <w:r>
        <w:rPr>
          <w:rFonts w:ascii="Times New Roman" w:hAnsi="Times New Roman"/>
          <w:b/>
          <w:sz w:val="28"/>
        </w:rPr>
        <w:t>7. Conclusion</w:t>
      </w:r>
    </w:p>
    <w:p>
      <w:pPr>
        <w:spacing w:line="360" w:lineRule="auto" w:after="120"/>
        <w:jc w:val="left"/>
      </w:pPr>
      <w:r>
        <w:rPr>
          <w:rFonts w:ascii="Times New Roman" w:hAnsi="Times New Roman"/>
          <w:sz w:val="24"/>
        </w:rPr>
        <w:t>IBM’s Workforce Management Initiative represents a watershed moment in the history of strategic human resource management. By successfully transitioning from a country-siloed, administrative function to a globally integrated, data-driven talent supply chain, IBM demonstrated that human capital can be managed with the same strategic precision as physical and financial assets. The success of the Expertise Taxonomy and the Globally Integrated Support Functions model proofed that a unified 'common language' is essential for unlocking global workforce agility and maximizing resource utilization.</w:t>
      </w:r>
    </w:p>
    <w:p>
      <w:pPr>
        <w:spacing w:line="360" w:lineRule="auto" w:after="120"/>
        <w:jc w:val="left"/>
      </w:pPr>
      <w:r>
        <w:rPr>
          <w:rFonts w:ascii="Times New Roman" w:hAnsi="Times New Roman"/>
          <w:sz w:val="24"/>
        </w:rPr>
        <w:t>However, the core lesson of the IBM case study is that process excellence and sophisticated analytics must not come at the expense of human values. A globally integrated enterprise must balance the 'hard' side of supply-chain optimization with the 'soft' side of employee relationships, trust, and career growth. For modern HR practices, the WMI model provides a powerful blueprint, showing that when technology, structural design, and human-centric values are aligned, HR can truly 'skate to where the puck is going to be' and drive sustainable global competitiveness.</w:t>
      </w:r>
    </w:p>
    <w:p>
      <w:pPr>
        <w:spacing w:after="120" w:before="240"/>
      </w:pPr>
      <w:r>
        <w:rPr>
          <w:rFonts w:ascii="Times New Roman" w:hAnsi="Times New Roman"/>
          <w:b/>
          <w:sz w:val="28"/>
        </w:rPr>
        <w:t>8. References</w:t>
      </w:r>
    </w:p>
    <w:p>
      <w:pPr>
        <w:spacing w:line="360" w:lineRule="auto" w:after="120"/>
        <w:jc w:val="left"/>
      </w:pPr>
      <w:r>
        <w:rPr>
          <w:rFonts w:ascii="Times New Roman" w:hAnsi="Times New Roman"/>
          <w:sz w:val="24"/>
        </w:rPr>
        <w:t>Boxall, P., &amp; Purcell, J. (2011). Strategy and Human Resource Management (3rd ed.). Palgrave Macmillan.</w:t>
      </w:r>
    </w:p>
    <w:p>
      <w:pPr>
        <w:spacing w:line="360" w:lineRule="auto" w:after="120"/>
        <w:jc w:val="left"/>
      </w:pPr>
      <w:r>
        <w:rPr>
          <w:rFonts w:ascii="Times New Roman" w:hAnsi="Times New Roman"/>
          <w:sz w:val="24"/>
        </w:rPr>
        <w:t>Boudreau, J. W. (2010). IBM's Global Talent Management Strategy: The Vision of the Globally Integrated Enterprise (Parts A, B &amp; C). Society for Human Resource Management (SHRM).</w:t>
      </w:r>
    </w:p>
    <w:p>
      <w:pPr>
        <w:spacing w:line="360" w:lineRule="auto" w:after="120"/>
        <w:jc w:val="left"/>
      </w:pPr>
      <w:r>
        <w:rPr>
          <w:rFonts w:ascii="Times New Roman" w:hAnsi="Times New Roman"/>
          <w:sz w:val="24"/>
        </w:rPr>
        <w:t>Boudreau, J. W., &amp; Ramstad, P. M. (2007). Beyond HR: The New Science of Human Capital. Harvard Business School Press.</w:t>
      </w:r>
    </w:p>
    <w:p>
      <w:pPr>
        <w:spacing w:line="360" w:lineRule="auto" w:after="120"/>
        <w:jc w:val="left"/>
      </w:pPr>
      <w:r>
        <w:rPr>
          <w:rFonts w:ascii="Times New Roman" w:hAnsi="Times New Roman"/>
          <w:sz w:val="24"/>
        </w:rPr>
        <w:t>Cappelli, P. (2008). Talent on Demand: Managing Talent in an Age of Uncertainty. Harvard Business Publishing.</w:t>
      </w:r>
    </w:p>
    <w:p>
      <w:pPr>
        <w:spacing w:line="360" w:lineRule="auto" w:after="120"/>
        <w:jc w:val="left"/>
      </w:pPr>
      <w:r>
        <w:rPr>
          <w:rFonts w:ascii="Times New Roman" w:hAnsi="Times New Roman"/>
          <w:sz w:val="24"/>
        </w:rPr>
        <w:t>Lawler, E. E., III, &amp; Boudreau, J. W. (2009). Achieving Excellence in Human Resources Management. Stanford University Press.</w:t>
      </w:r>
    </w:p>
    <w:p>
      <w:pPr>
        <w:spacing w:line="360" w:lineRule="auto" w:after="120"/>
        <w:jc w:val="left"/>
      </w:pPr>
      <w:r>
        <w:rPr>
          <w:rFonts w:ascii="Times New Roman" w:hAnsi="Times New Roman"/>
          <w:sz w:val="24"/>
        </w:rPr>
        <w:t>Palmisano, S. J. (2006). The globally integrated enterprise. Foreign Affairs, 85(3), 127–136.</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8"/>
      </w:rPr>
      <w:t>Student Name: Ijaz DPHP  |  Student ID: [Student ID]  |  Course Code: MSPA-SHRM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