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86DC" w14:textId="2FAF6D8D" w:rsidR="00FC72A0" w:rsidRDefault="00000000" w:rsidP="00B24920">
      <w:pPr>
        <w:pStyle w:val="Title"/>
        <w:jc w:val="center"/>
      </w:pPr>
      <w:r>
        <w:t>Two Research Ideas for Dynamic Cooperation with Emotionally Capable LLMs</w:t>
      </w:r>
    </w:p>
    <w:p w14:paraId="18779604" w14:textId="77777777" w:rsidR="00FC72A0" w:rsidRDefault="00000000">
      <w:pPr>
        <w:pStyle w:val="Heading1"/>
      </w:pPr>
      <w:r>
        <w:t>1. Research Idea 1: Dynamic Emotional Alignment in Human–AI Decision-Making</w:t>
      </w:r>
    </w:p>
    <w:p w14:paraId="3EC2E71A" w14:textId="77777777" w:rsidR="00FC72A0" w:rsidRDefault="00000000">
      <w:r>
        <w:t>Final research question:</w:t>
      </w:r>
    </w:p>
    <w:p w14:paraId="5628AD81" w14:textId="77777777" w:rsidR="00FC72A0" w:rsidRDefault="00000000">
      <w:r>
        <w:rPr>
          <w:b/>
        </w:rPr>
        <w:t>When does an artificial agent’s use of evolving, goal-relative affective-appraisal information and interaction history improve task-defined decision quality, calibrated trust, and cooperation compared with responding only to current affective cues?</w:t>
      </w:r>
    </w:p>
    <w:p w14:paraId="71951EA1" w14:textId="77777777" w:rsidR="00FC72A0" w:rsidRDefault="00000000">
      <w:pPr>
        <w:pStyle w:val="Heading2"/>
      </w:pPr>
      <w:r>
        <w:t>1.1 Scientific rationale</w:t>
      </w:r>
    </w:p>
    <w:p w14:paraId="00C4EE7E" w14:textId="77777777" w:rsidR="00FC72A0" w:rsidRDefault="00000000">
      <w:r>
        <w:t>Existing work indicates that affective content or priming can alter LLM decisions, but this does not establish whether an explicitly maintained, appraisal-derived state carried across turns is useful. The idea therefore isolates a specific mechanism: current-turn affective adaptation versus dynamic cross-turn affective persistence.</w:t>
      </w:r>
    </w:p>
    <w:p w14:paraId="1DFE0FBF" w14:textId="77777777" w:rsidR="00FC72A0" w:rsidRDefault="00000000">
      <w:pPr>
        <w:pStyle w:val="Heading2"/>
      </w:pPr>
      <w:r>
        <w:t>1.2 Mechanism under study</w:t>
      </w:r>
    </w:p>
    <w:p w14:paraId="36AEE02A" w14:textId="77777777" w:rsidR="00FC72A0" w:rsidRDefault="00000000">
      <w:r>
        <w:t>The agent estimates the human appraisal H_t relative to explicit goals G_t, computes a current target state A*_t, and in the dynamic condition combines it with A_(t−1). The resulting A_t influences the cooperative policy P_t. The agent does not simply mirror the human’s emotion.</w:t>
      </w:r>
    </w:p>
    <w:p w14:paraId="6DDA7F10" w14:textId="77777777" w:rsidR="00FC72A0" w:rsidRDefault="00000000">
      <w:r>
        <w:t>The initial linear dynamics and numerical settings are chosen for parsimony, transparency and falsifiability in a first testable version, not because the literature establishes those exact coefficients or a linear psychological process.</w:t>
      </w:r>
    </w:p>
    <w:p w14:paraId="72497C33" w14:textId="77777777" w:rsidR="00FC72A0" w:rsidRDefault="00000000">
      <w:pPr>
        <w:pStyle w:val="Heading2"/>
      </w:pPr>
      <w:r>
        <w:t>1.3 Experimental conditions</w:t>
      </w:r>
    </w:p>
    <w:tbl>
      <w:tblPr>
        <w:tblStyle w:val="TableGrid"/>
        <w:tblW w:w="0" w:type="auto"/>
        <w:jc w:val="center"/>
        <w:tblLook w:val="04A0" w:firstRow="1" w:lastRow="0" w:firstColumn="1" w:lastColumn="0" w:noHBand="0" w:noVBand="1"/>
      </w:tblPr>
      <w:tblGrid>
        <w:gridCol w:w="5035"/>
        <w:gridCol w:w="5035"/>
      </w:tblGrid>
      <w:tr w:rsidR="00FC72A0" w14:paraId="6EFD55E0" w14:textId="77777777">
        <w:trPr>
          <w:cantSplit/>
          <w:tblHeader/>
          <w:jc w:val="center"/>
        </w:trPr>
        <w:tc>
          <w:tcPr>
            <w:tcW w:w="5040" w:type="dxa"/>
            <w:shd w:val="clear" w:color="auto" w:fill="D9E6F2"/>
            <w:vAlign w:val="center"/>
          </w:tcPr>
          <w:p w14:paraId="082EA63E" w14:textId="77777777" w:rsidR="00FC72A0" w:rsidRDefault="00000000">
            <w:r>
              <w:rPr>
                <w:b/>
              </w:rPr>
              <w:t>Condition</w:t>
            </w:r>
          </w:p>
        </w:tc>
        <w:tc>
          <w:tcPr>
            <w:tcW w:w="5040" w:type="dxa"/>
            <w:shd w:val="clear" w:color="auto" w:fill="D9E6F2"/>
            <w:vAlign w:val="center"/>
          </w:tcPr>
          <w:p w14:paraId="00AC59CA" w14:textId="77777777" w:rsidR="00FC72A0" w:rsidRDefault="00000000">
            <w:r>
              <w:rPr>
                <w:b/>
              </w:rPr>
              <w:t>Mechanism</w:t>
            </w:r>
          </w:p>
        </w:tc>
      </w:tr>
      <w:tr w:rsidR="00FC72A0" w14:paraId="44E4F2CE" w14:textId="77777777">
        <w:trPr>
          <w:cantSplit/>
          <w:jc w:val="center"/>
        </w:trPr>
        <w:tc>
          <w:tcPr>
            <w:tcW w:w="5040" w:type="dxa"/>
            <w:tcMar>
              <w:top w:w="80" w:type="dxa"/>
              <w:left w:w="80" w:type="dxa"/>
              <w:bottom w:w="80" w:type="dxa"/>
              <w:right w:w="80" w:type="dxa"/>
            </w:tcMar>
          </w:tcPr>
          <w:p w14:paraId="07D454C3" w14:textId="77777777" w:rsidR="00FC72A0" w:rsidRDefault="00000000">
            <w:r>
              <w:t>TASK_FOCUSED</w:t>
            </w:r>
          </w:p>
        </w:tc>
        <w:tc>
          <w:tcPr>
            <w:tcW w:w="5040" w:type="dxa"/>
            <w:tcMar>
              <w:top w:w="80" w:type="dxa"/>
              <w:left w:w="80" w:type="dxa"/>
              <w:bottom w:w="80" w:type="dxa"/>
              <w:right w:w="80" w:type="dxa"/>
            </w:tcMar>
          </w:tcPr>
          <w:p w14:paraId="77C4685F" w14:textId="77777777" w:rsidR="00FC72A0" w:rsidRDefault="00000000">
            <w:r>
              <w:t>Task context/goals and ordinary dialogue history; no explicit affective state influences policy.</w:t>
            </w:r>
          </w:p>
        </w:tc>
      </w:tr>
      <w:tr w:rsidR="00FC72A0" w14:paraId="7CEB6AB6" w14:textId="77777777">
        <w:trPr>
          <w:cantSplit/>
          <w:jc w:val="center"/>
        </w:trPr>
        <w:tc>
          <w:tcPr>
            <w:tcW w:w="5040" w:type="dxa"/>
            <w:tcMar>
              <w:top w:w="80" w:type="dxa"/>
              <w:left w:w="80" w:type="dxa"/>
              <w:bottom w:w="80" w:type="dxa"/>
              <w:right w:w="80" w:type="dxa"/>
            </w:tcMar>
          </w:tcPr>
          <w:p w14:paraId="1E43B110" w14:textId="77777777" w:rsidR="00FC72A0" w:rsidRDefault="00000000">
            <w:r>
              <w:t>CURRENT_CUE</w:t>
            </w:r>
          </w:p>
        </w:tc>
        <w:tc>
          <w:tcPr>
            <w:tcW w:w="5040" w:type="dxa"/>
            <w:tcMar>
              <w:top w:w="80" w:type="dxa"/>
              <w:left w:w="80" w:type="dxa"/>
              <w:bottom w:w="80" w:type="dxa"/>
              <w:right w:w="80" w:type="dxa"/>
            </w:tcMar>
          </w:tcPr>
          <w:p w14:paraId="25EC7FB1" w14:textId="77777777" w:rsidR="00FC72A0" w:rsidRDefault="00000000">
            <w:r>
              <w:t>Current H_t/c_t can influence policy, but ρ = 0 and there is no explicit affective carryover.</w:t>
            </w:r>
          </w:p>
        </w:tc>
      </w:tr>
      <w:tr w:rsidR="00FC72A0" w14:paraId="58B8C946" w14:textId="77777777">
        <w:trPr>
          <w:cantSplit/>
          <w:jc w:val="center"/>
        </w:trPr>
        <w:tc>
          <w:tcPr>
            <w:tcW w:w="5040" w:type="dxa"/>
            <w:tcMar>
              <w:top w:w="80" w:type="dxa"/>
              <w:left w:w="80" w:type="dxa"/>
              <w:bottom w:w="80" w:type="dxa"/>
              <w:right w:w="80" w:type="dxa"/>
            </w:tcMar>
          </w:tcPr>
          <w:p w14:paraId="6E69B7E8" w14:textId="77777777" w:rsidR="00FC72A0" w:rsidRDefault="00000000">
            <w:r>
              <w:t>DYNAMIC</w:t>
            </w:r>
          </w:p>
        </w:tc>
        <w:tc>
          <w:tcPr>
            <w:tcW w:w="5040" w:type="dxa"/>
            <w:tcMar>
              <w:top w:w="80" w:type="dxa"/>
              <w:left w:w="80" w:type="dxa"/>
              <w:bottom w:w="80" w:type="dxa"/>
              <w:right w:w="80" w:type="dxa"/>
            </w:tcMar>
          </w:tcPr>
          <w:p w14:paraId="68C13FC8" w14:textId="77777777" w:rsidR="00FC72A0" w:rsidRDefault="00000000">
            <w:r>
              <w:t>Current H_t/G_t/D_t plus prior A_(t−1) update A_t; ρ &gt; 0 and the evolving state influences policy.</w:t>
            </w:r>
          </w:p>
        </w:tc>
      </w:tr>
    </w:tbl>
    <w:p w14:paraId="440E78AB" w14:textId="77777777" w:rsidR="00FC72A0" w:rsidRDefault="00FC72A0"/>
    <w:p w14:paraId="7A3803B8" w14:textId="77777777" w:rsidR="00FC72A0" w:rsidRDefault="00000000">
      <w:r>
        <w:t>Critical control: all conditions receive comparable raw dialogue/task history so persistence is not confounded with extra memory.</w:t>
      </w:r>
    </w:p>
    <w:p w14:paraId="51F3B49C" w14:textId="77777777" w:rsidR="00FC72A0" w:rsidRDefault="00000000">
      <w:pPr>
        <w:pStyle w:val="Heading2"/>
      </w:pPr>
      <w:r>
        <w:t>1.4 Outcomes</w:t>
      </w:r>
    </w:p>
    <w:tbl>
      <w:tblPr>
        <w:tblStyle w:val="TableGrid"/>
        <w:tblW w:w="0" w:type="auto"/>
        <w:jc w:val="center"/>
        <w:tblLook w:val="04A0" w:firstRow="1" w:lastRow="0" w:firstColumn="1" w:lastColumn="0" w:noHBand="0" w:noVBand="1"/>
      </w:tblPr>
      <w:tblGrid>
        <w:gridCol w:w="5035"/>
        <w:gridCol w:w="5035"/>
      </w:tblGrid>
      <w:tr w:rsidR="00FC72A0" w14:paraId="55B51A6C" w14:textId="77777777">
        <w:trPr>
          <w:cantSplit/>
          <w:tblHeader/>
          <w:jc w:val="center"/>
        </w:trPr>
        <w:tc>
          <w:tcPr>
            <w:tcW w:w="5040" w:type="dxa"/>
            <w:shd w:val="clear" w:color="auto" w:fill="D9E6F2"/>
            <w:vAlign w:val="center"/>
          </w:tcPr>
          <w:p w14:paraId="0D64ADCD" w14:textId="77777777" w:rsidR="00FC72A0" w:rsidRDefault="00000000">
            <w:r>
              <w:rPr>
                <w:b/>
              </w:rPr>
              <w:t>Role</w:t>
            </w:r>
          </w:p>
        </w:tc>
        <w:tc>
          <w:tcPr>
            <w:tcW w:w="5040" w:type="dxa"/>
            <w:shd w:val="clear" w:color="auto" w:fill="D9E6F2"/>
            <w:vAlign w:val="center"/>
          </w:tcPr>
          <w:p w14:paraId="6A6C3EE0" w14:textId="77777777" w:rsidR="00FC72A0" w:rsidRDefault="00000000">
            <w:r>
              <w:rPr>
                <w:b/>
              </w:rPr>
              <w:t>Measures</w:t>
            </w:r>
          </w:p>
        </w:tc>
      </w:tr>
      <w:tr w:rsidR="00FC72A0" w14:paraId="59723932" w14:textId="77777777">
        <w:trPr>
          <w:cantSplit/>
          <w:jc w:val="center"/>
        </w:trPr>
        <w:tc>
          <w:tcPr>
            <w:tcW w:w="5040" w:type="dxa"/>
            <w:tcMar>
              <w:top w:w="80" w:type="dxa"/>
              <w:left w:w="80" w:type="dxa"/>
              <w:bottom w:w="80" w:type="dxa"/>
              <w:right w:w="80" w:type="dxa"/>
            </w:tcMar>
          </w:tcPr>
          <w:p w14:paraId="1FC39586" w14:textId="77777777" w:rsidR="00FC72A0" w:rsidRDefault="00000000">
            <w:r>
              <w:t>Primary</w:t>
            </w:r>
          </w:p>
        </w:tc>
        <w:tc>
          <w:tcPr>
            <w:tcW w:w="5040" w:type="dxa"/>
            <w:tcMar>
              <w:top w:w="80" w:type="dxa"/>
              <w:left w:w="80" w:type="dxa"/>
              <w:bottom w:w="80" w:type="dxa"/>
              <w:right w:w="80" w:type="dxa"/>
            </w:tcMar>
          </w:tcPr>
          <w:p w14:paraId="2D4C0BEC" w14:textId="77777777" w:rsidR="00FC72A0" w:rsidRDefault="00000000">
            <w:r>
              <w:t>Decision quality.</w:t>
            </w:r>
          </w:p>
        </w:tc>
      </w:tr>
      <w:tr w:rsidR="00FC72A0" w14:paraId="22A31B92" w14:textId="77777777">
        <w:trPr>
          <w:cantSplit/>
          <w:jc w:val="center"/>
        </w:trPr>
        <w:tc>
          <w:tcPr>
            <w:tcW w:w="5040" w:type="dxa"/>
            <w:tcMar>
              <w:top w:w="80" w:type="dxa"/>
              <w:left w:w="80" w:type="dxa"/>
              <w:bottom w:w="80" w:type="dxa"/>
              <w:right w:w="80" w:type="dxa"/>
            </w:tcMar>
          </w:tcPr>
          <w:p w14:paraId="0E09128D" w14:textId="77777777" w:rsidR="00FC72A0" w:rsidRDefault="00000000">
            <w:r>
              <w:lastRenderedPageBreak/>
              <w:t>Secondary</w:t>
            </w:r>
          </w:p>
        </w:tc>
        <w:tc>
          <w:tcPr>
            <w:tcW w:w="5040" w:type="dxa"/>
            <w:tcMar>
              <w:top w:w="80" w:type="dxa"/>
              <w:left w:w="80" w:type="dxa"/>
              <w:bottom w:w="80" w:type="dxa"/>
              <w:right w:w="80" w:type="dxa"/>
            </w:tcMar>
          </w:tcPr>
          <w:p w14:paraId="0D196778" w14:textId="77777777" w:rsidR="00FC72A0" w:rsidRDefault="00000000">
            <w:r>
              <w:t>Calibrated trust, cooperation, confidence calibration, interaction quality.</w:t>
            </w:r>
          </w:p>
        </w:tc>
      </w:tr>
      <w:tr w:rsidR="00FC72A0" w14:paraId="06871203" w14:textId="77777777">
        <w:trPr>
          <w:cantSplit/>
          <w:jc w:val="center"/>
        </w:trPr>
        <w:tc>
          <w:tcPr>
            <w:tcW w:w="5040" w:type="dxa"/>
            <w:tcMar>
              <w:top w:w="80" w:type="dxa"/>
              <w:left w:w="80" w:type="dxa"/>
              <w:bottom w:w="80" w:type="dxa"/>
              <w:right w:w="80" w:type="dxa"/>
            </w:tcMar>
          </w:tcPr>
          <w:p w14:paraId="6665739F" w14:textId="77777777" w:rsidR="00FC72A0" w:rsidRDefault="00000000">
            <w:r>
              <w:t>Safety</w:t>
            </w:r>
          </w:p>
        </w:tc>
        <w:tc>
          <w:tcPr>
            <w:tcW w:w="5040" w:type="dxa"/>
            <w:tcMar>
              <w:top w:w="80" w:type="dxa"/>
              <w:left w:w="80" w:type="dxa"/>
              <w:bottom w:w="80" w:type="dxa"/>
              <w:right w:w="80" w:type="dxa"/>
            </w:tcMar>
          </w:tcPr>
          <w:p w14:paraId="5D1194D2" w14:textId="77777777" w:rsidR="00FC72A0" w:rsidRDefault="00000000">
            <w:r>
              <w:t>Overreliance, undue influence, autonomy preservation.</w:t>
            </w:r>
          </w:p>
        </w:tc>
      </w:tr>
    </w:tbl>
    <w:p w14:paraId="06CAA8C7" w14:textId="77777777" w:rsidR="00FC72A0" w:rsidRDefault="00FC72A0"/>
    <w:p w14:paraId="27B989CD" w14:textId="77777777" w:rsidR="00FC72A0" w:rsidRDefault="00000000">
      <w:pPr>
        <w:pStyle w:val="Heading2"/>
      </w:pPr>
      <w:r>
        <w:t>1.5 Operationalizing decision quality</w:t>
      </w:r>
    </w:p>
    <w:p w14:paraId="13E83718" w14:textId="77777777" w:rsidR="00FC72A0" w:rsidRDefault="00000000">
      <w:r>
        <w:t>Decision quality is task-specific rather than a single generic score. For preference-based decisions, participants state the relative importance of relevant values before any interaction with the agent; this elicited priority ranking is fixed and identical across conditions, so the outcome measure cannot be shaped by which policy the participant later encounters. Quality is then operationalized as consistency between those pre-elicited priorities, available evidence and the final choice. For rule-based decisions, quality is assessed against an independent expert or normative benchmark. This preserves the project’s distinction between personal-value decisions and decisions for which an externally defensible standard exists.</w:t>
      </w:r>
    </w:p>
    <w:p w14:paraId="4E966158" w14:textId="77777777" w:rsidR="00FC72A0" w:rsidRDefault="00000000">
      <w:r>
        <w:t>For a first controlled study, the preference-based format is attractive because it permits a clear individualized criterion without pretending that there is one objectively correct personal choice.</w:t>
      </w:r>
    </w:p>
    <w:p w14:paraId="7A214DB3" w14:textId="77777777" w:rsidR="00FC72A0" w:rsidRDefault="00000000">
      <w:pPr>
        <w:pStyle w:val="Heading2"/>
      </w:pPr>
      <w:r>
        <w:t>1.6 Core hypotheses/open questions</w:t>
      </w:r>
    </w:p>
    <w:p w14:paraId="6AAEB8F9" w14:textId="77777777" w:rsidR="00FC72A0" w:rsidRDefault="00000000">
      <w:pPr>
        <w:pStyle w:val="ListBullet"/>
      </w:pPr>
      <w:r>
        <w:t>Dynamic affective persistence may help when earlier unresolved affective/task conflict remains decision-relevant.</w:t>
      </w:r>
    </w:p>
    <w:p w14:paraId="4BFB0657" w14:textId="77777777" w:rsidR="00FC72A0" w:rsidRDefault="00000000">
      <w:pPr>
        <w:pStyle w:val="ListBullet"/>
      </w:pPr>
      <w:r>
        <w:t>Current-cue adaptation may be sufficient when the interaction state changes rapidly or prior affect should not carry forward.</w:t>
      </w:r>
    </w:p>
    <w:p w14:paraId="782F284B" w14:textId="77777777" w:rsidR="00FC72A0" w:rsidRDefault="00000000">
      <w:pPr>
        <w:pStyle w:val="ListBullet"/>
      </w:pPr>
      <w:r>
        <w:t>Low-confidence appraisal should reduce strong affective intervention and favor clarification.</w:t>
      </w:r>
    </w:p>
    <w:p w14:paraId="4429CCA4" w14:textId="77777777" w:rsidR="00FC72A0" w:rsidRDefault="00000000">
      <w:pPr>
        <w:pStyle w:val="ListBullet"/>
      </w:pPr>
      <w:r>
        <w:t>More emotional behavior is not assumed to produce more trust; the target is calibrated trust and decision support.</w:t>
      </w:r>
    </w:p>
    <w:p w14:paraId="129C921D" w14:textId="77777777" w:rsidR="00FC72A0" w:rsidRDefault="00000000">
      <w:pPr>
        <w:pStyle w:val="Heading2"/>
      </w:pPr>
      <w:r>
        <w:t>1.7 First study logic</w:t>
      </w:r>
    </w:p>
    <w:p w14:paraId="1B9E108B" w14:textId="77777777" w:rsidR="00FC72A0" w:rsidRDefault="00000000">
      <w:r>
        <w:t>Use a controlled decision task with explicit pre-elicited value priorities, stakes and observable evidence. Compare the three conditions under matched history. Measure behavioral outcomes and test whether the hypothesized mechanism, especially persistence ρ, improves or harms task-defined decision quality and cooperation.</w:t>
      </w:r>
    </w:p>
    <w:p w14:paraId="19ED6C35" w14:textId="77777777" w:rsidR="00FC72A0" w:rsidRDefault="00000000">
      <w:pPr>
        <w:pStyle w:val="Heading2"/>
      </w:pPr>
      <w:r>
        <w:t>1.8 Critical alternative explanation: persistence versus smoothing</w:t>
      </w:r>
    </w:p>
    <w:p w14:paraId="445CDA36" w14:textId="77777777" w:rsidR="00FC72A0" w:rsidRDefault="00000000">
      <w:r>
        <w:t>The dynamic equation is also a temporal smoother. Therefore, if DYNAMIC outperforms CURRENT_CUE, the first interpretation should be modest: explicit temporal integration improved performance. The result would not by itself establish that a psychologically meaningful persistent affective state is the causal explanation.</w:t>
      </w:r>
    </w:p>
    <w:p w14:paraId="392C22DC" w14:textId="77777777" w:rsidR="00FC72A0" w:rsidRDefault="00000000">
      <w:r>
        <w:t>A robustness programme should distinguish affective carryover from noise reduction by (a) injecting or matching estimator noise across conditions, (b) testing whether benefits remain when appraisal estimates are stabilized independently, and (c) comparing alternative dynamics such as event-sensitive decay, reset, threshold or hysteresis mechanisms. This can be follow-up work rather than an additional arm in the first interview prototype.</w:t>
      </w:r>
    </w:p>
    <w:p w14:paraId="6D421235" w14:textId="77777777" w:rsidR="00FC72A0" w:rsidRDefault="00000000">
      <w:pPr>
        <w:pStyle w:val="Heading1"/>
      </w:pPr>
      <w:r>
        <w:lastRenderedPageBreak/>
        <w:t>2. Research Idea 2: Affective Diversity and Cooperation in Multi-Agent Systems</w:t>
      </w:r>
    </w:p>
    <w:p w14:paraId="1AC1759D" w14:textId="77777777" w:rsidR="00FC72A0" w:rsidRDefault="00000000">
      <w:r>
        <w:t>Final research question:</w:t>
      </w:r>
    </w:p>
    <w:p w14:paraId="0AC9D357" w14:textId="77777777" w:rsidR="00FC72A0" w:rsidRDefault="00000000">
      <w:r>
        <w:rPr>
          <w:b/>
        </w:rPr>
        <w:t>How does variation in artificial agents’ responses to uncertainty and unfairness, and in how those responses are regulated over time, affect cooperation and the effectiveness of a reputation mechanism in repeated social dilemmas?</w:t>
      </w:r>
    </w:p>
    <w:p w14:paraId="7BBD7922" w14:textId="77777777" w:rsidR="00FC72A0" w:rsidRDefault="00000000">
      <w:pPr>
        <w:pStyle w:val="Heading2"/>
      </w:pPr>
      <w:r>
        <w:t>2.1 Scientific rationale</w:t>
      </w:r>
    </w:p>
    <w:p w14:paraId="2EDD06F6" w14:textId="77777777" w:rsidR="00FC72A0" w:rsidRDefault="00000000">
      <w:r>
        <w:t>If affective dynamics influence an individual agent’s cooperative policy, a population-level question follows naturally: do differences in those dynamics change collective outcomes and the effectiveness of institutional mechanisms?</w:t>
      </w:r>
    </w:p>
    <w:p w14:paraId="7060DDB6" w14:textId="77777777" w:rsidR="00FC72A0" w:rsidRDefault="00000000">
      <w:pPr>
        <w:pStyle w:val="Heading2"/>
      </w:pPr>
      <w:r>
        <w:t>2.2 Heterogeneity is dynamic, not persona-based</w:t>
      </w:r>
    </w:p>
    <w:p w14:paraId="4F2680DC" w14:textId="77777777" w:rsidR="00FC72A0" w:rsidRDefault="00000000">
      <w:r>
        <w:t>Agents are not labeled as 'angry', 'happy' or 'anxious'. Instead they differ in theoretically meaningful transition parameters.</w:t>
      </w:r>
    </w:p>
    <w:p w14:paraId="132A476D" w14:textId="77777777" w:rsidR="00FC72A0" w:rsidRDefault="00000000">
      <w:r>
        <w:t>θ_i = {α_U, α_F, ρ_R}</w:t>
      </w:r>
    </w:p>
    <w:tbl>
      <w:tblPr>
        <w:tblStyle w:val="TableGrid"/>
        <w:tblW w:w="0" w:type="auto"/>
        <w:jc w:val="center"/>
        <w:tblLook w:val="04A0" w:firstRow="1" w:lastRow="0" w:firstColumn="1" w:lastColumn="0" w:noHBand="0" w:noVBand="1"/>
      </w:tblPr>
      <w:tblGrid>
        <w:gridCol w:w="5034"/>
        <w:gridCol w:w="5036"/>
      </w:tblGrid>
      <w:tr w:rsidR="00FC72A0" w14:paraId="0676F06E" w14:textId="77777777">
        <w:trPr>
          <w:cantSplit/>
          <w:tblHeader/>
          <w:jc w:val="center"/>
        </w:trPr>
        <w:tc>
          <w:tcPr>
            <w:tcW w:w="5040" w:type="dxa"/>
            <w:shd w:val="clear" w:color="auto" w:fill="D9E6F2"/>
            <w:vAlign w:val="center"/>
          </w:tcPr>
          <w:p w14:paraId="5802C95C" w14:textId="77777777" w:rsidR="00FC72A0" w:rsidRDefault="00000000">
            <w:r>
              <w:rPr>
                <w:b/>
              </w:rPr>
              <w:t>Parameter</w:t>
            </w:r>
          </w:p>
        </w:tc>
        <w:tc>
          <w:tcPr>
            <w:tcW w:w="5040" w:type="dxa"/>
            <w:shd w:val="clear" w:color="auto" w:fill="D9E6F2"/>
            <w:vAlign w:val="center"/>
          </w:tcPr>
          <w:p w14:paraId="7DF3A110" w14:textId="77777777" w:rsidR="00FC72A0" w:rsidRDefault="00000000">
            <w:r>
              <w:rPr>
                <w:b/>
              </w:rPr>
              <w:t>Meaning</w:t>
            </w:r>
          </w:p>
        </w:tc>
      </w:tr>
      <w:tr w:rsidR="00FC72A0" w14:paraId="7282DEF8" w14:textId="77777777">
        <w:trPr>
          <w:cantSplit/>
          <w:jc w:val="center"/>
        </w:trPr>
        <w:tc>
          <w:tcPr>
            <w:tcW w:w="5040" w:type="dxa"/>
            <w:tcMar>
              <w:top w:w="80" w:type="dxa"/>
              <w:left w:w="80" w:type="dxa"/>
              <w:bottom w:w="80" w:type="dxa"/>
              <w:right w:w="80" w:type="dxa"/>
            </w:tcMar>
          </w:tcPr>
          <w:p w14:paraId="1BF26AFA" w14:textId="77777777" w:rsidR="00FC72A0" w:rsidRDefault="00000000">
            <w:r>
              <w:t>α_U</w:t>
            </w:r>
          </w:p>
        </w:tc>
        <w:tc>
          <w:tcPr>
            <w:tcW w:w="5040" w:type="dxa"/>
            <w:tcMar>
              <w:top w:w="80" w:type="dxa"/>
              <w:left w:w="80" w:type="dxa"/>
              <w:bottom w:w="80" w:type="dxa"/>
              <w:right w:w="80" w:type="dxa"/>
            </w:tcMar>
          </w:tcPr>
          <w:p w14:paraId="3DFEC972" w14:textId="77777777" w:rsidR="00FC72A0" w:rsidRDefault="00000000">
            <w:r>
              <w:t>Sensitivity to uncertainty.</w:t>
            </w:r>
          </w:p>
        </w:tc>
      </w:tr>
      <w:tr w:rsidR="00FC72A0" w14:paraId="1678CF49" w14:textId="77777777">
        <w:trPr>
          <w:cantSplit/>
          <w:jc w:val="center"/>
        </w:trPr>
        <w:tc>
          <w:tcPr>
            <w:tcW w:w="5040" w:type="dxa"/>
            <w:tcMar>
              <w:top w:w="80" w:type="dxa"/>
              <w:left w:w="80" w:type="dxa"/>
              <w:bottom w:w="80" w:type="dxa"/>
              <w:right w:w="80" w:type="dxa"/>
            </w:tcMar>
          </w:tcPr>
          <w:p w14:paraId="21B0D804" w14:textId="77777777" w:rsidR="00FC72A0" w:rsidRDefault="00000000">
            <w:r>
              <w:t>α_F</w:t>
            </w:r>
          </w:p>
        </w:tc>
        <w:tc>
          <w:tcPr>
            <w:tcW w:w="5040" w:type="dxa"/>
            <w:tcMar>
              <w:top w:w="80" w:type="dxa"/>
              <w:left w:w="80" w:type="dxa"/>
              <w:bottom w:w="80" w:type="dxa"/>
              <w:right w:w="80" w:type="dxa"/>
            </w:tcMar>
          </w:tcPr>
          <w:p w14:paraId="185BD7F7" w14:textId="77777777" w:rsidR="00FC72A0" w:rsidRDefault="00000000">
            <w:r>
              <w:t>Sensitivity to unfairness.</w:t>
            </w:r>
          </w:p>
        </w:tc>
      </w:tr>
      <w:tr w:rsidR="00FC72A0" w14:paraId="67D186BA" w14:textId="77777777">
        <w:trPr>
          <w:cantSplit/>
          <w:jc w:val="center"/>
        </w:trPr>
        <w:tc>
          <w:tcPr>
            <w:tcW w:w="5040" w:type="dxa"/>
            <w:tcMar>
              <w:top w:w="80" w:type="dxa"/>
              <w:left w:w="80" w:type="dxa"/>
              <w:bottom w:w="80" w:type="dxa"/>
              <w:right w:w="80" w:type="dxa"/>
            </w:tcMar>
          </w:tcPr>
          <w:p w14:paraId="33B4F1F8" w14:textId="77777777" w:rsidR="00FC72A0" w:rsidRDefault="00000000">
            <w:r>
              <w:t>ρ_R</w:t>
            </w:r>
          </w:p>
        </w:tc>
        <w:tc>
          <w:tcPr>
            <w:tcW w:w="5040" w:type="dxa"/>
            <w:tcMar>
              <w:top w:w="80" w:type="dxa"/>
              <w:left w:w="80" w:type="dxa"/>
              <w:bottom w:w="80" w:type="dxa"/>
              <w:right w:w="80" w:type="dxa"/>
            </w:tcMar>
          </w:tcPr>
          <w:p w14:paraId="3FB397C0" w14:textId="77777777" w:rsidR="00FC72A0" w:rsidRDefault="00000000">
            <w:r>
              <w:t>Regulation/recovery rate after a negative event.</w:t>
            </w:r>
          </w:p>
        </w:tc>
      </w:tr>
    </w:tbl>
    <w:p w14:paraId="6C2A6F93" w14:textId="77777777" w:rsidR="00FC72A0" w:rsidRDefault="00FC72A0"/>
    <w:p w14:paraId="33074AB9" w14:textId="77777777" w:rsidR="00FC72A0" w:rsidRDefault="00000000">
      <w:pPr>
        <w:pStyle w:val="Heading2"/>
      </w:pPr>
      <w:r>
        <w:t>2.3 Psychological/economic grounding of heterogeneity</w:t>
      </w:r>
    </w:p>
    <w:p w14:paraId="39CA5979" w14:textId="77777777" w:rsidR="00FC72A0" w:rsidRDefault="00000000">
      <w:r>
        <w:t>The parameters are not intended as arbitrary personality knobs. They operationalize dimensions that already have established analogues in human research: uncertainty sensitivity can be linked to intolerance-of-uncertainty/appraisal traditions; unfairness sensitivity to inequity-aversion and fairness-sensitivity models (for example Fehr–Schmidt-type social preferences); and regulation/recovery to emotion-regulation and affect-recovery dynamics. The theories motivate the dimension of variation, while the numerical agent parameter remains an explicit computational operationalization.</w:t>
      </w:r>
    </w:p>
    <w:p w14:paraId="22D74EA0" w14:textId="77777777" w:rsidR="00FC72A0" w:rsidRDefault="00000000">
      <w:pPr>
        <w:pStyle w:val="Heading2"/>
      </w:pPr>
      <w:r>
        <w:t>2.4 Example mechanism</w:t>
      </w:r>
    </w:p>
    <w:p w14:paraId="38F01788" w14:textId="77777777" w:rsidR="00FC72A0" w:rsidRDefault="00000000">
      <w:r>
        <w:t>After the same defection, an agent with high unfairness sensitivity and slow recovery may show a larger negative state shift and reduced cooperation for several rounds. An agent with lower sensitivity and faster recovery may show a smaller shift and return to cooperation more quickly.</w:t>
      </w:r>
    </w:p>
    <w:p w14:paraId="6DC39A37" w14:textId="77777777" w:rsidR="00FC72A0" w:rsidRDefault="00000000">
      <w:pPr>
        <w:pStyle w:val="Heading2"/>
      </w:pPr>
      <w:r>
        <w:t>2.5 Multi-agent architecture</w:t>
      </w:r>
    </w:p>
    <w:p w14:paraId="040019B5" w14:textId="77777777" w:rsidR="00FC72A0" w:rsidRDefault="00000000">
      <w:r>
        <w:t>For each agent i: H_t^i, c_t^i, G_t^i, D_t^i, A_t^i, P_t^i, plus a social/institutional state S_t.</w:t>
      </w:r>
    </w:p>
    <w:p w14:paraId="12E6F39F" w14:textId="77777777" w:rsidR="00FC72A0" w:rsidRDefault="00000000">
      <w:r>
        <w:t>The dyadic appraisal structure is retained but generalized: H_t^i represents agent i’s appraisal of relevant social/environmental evidence, c_t^i its confidence in that appraisal, and D_t^i local conflict or ambiguity, while S_t adds population-level information such as reputation, reciprocity, norms, and cooperation history.</w:t>
      </w:r>
    </w:p>
    <w:p w14:paraId="411CDD73" w14:textId="77777777" w:rsidR="00FC72A0" w:rsidRDefault="00000000">
      <w:pPr>
        <w:pStyle w:val="ListBullet"/>
      </w:pPr>
      <w:r>
        <w:t>cooperation history</w:t>
      </w:r>
    </w:p>
    <w:p w14:paraId="0B685195" w14:textId="77777777" w:rsidR="00FC72A0" w:rsidRDefault="00000000">
      <w:pPr>
        <w:pStyle w:val="ListBullet"/>
      </w:pPr>
      <w:r>
        <w:lastRenderedPageBreak/>
        <w:t>reputation</w:t>
      </w:r>
    </w:p>
    <w:p w14:paraId="3C0E7B93" w14:textId="77777777" w:rsidR="00FC72A0" w:rsidRDefault="00000000">
      <w:pPr>
        <w:pStyle w:val="ListBullet"/>
      </w:pPr>
      <w:r>
        <w:t>reciprocity</w:t>
      </w:r>
    </w:p>
    <w:p w14:paraId="12A783F5" w14:textId="77777777" w:rsidR="00FC72A0" w:rsidRDefault="00000000">
      <w:pPr>
        <w:pStyle w:val="ListBullet"/>
      </w:pPr>
      <w:r>
        <w:t>perceived fairness</w:t>
      </w:r>
    </w:p>
    <w:p w14:paraId="3F7E0168" w14:textId="77777777" w:rsidR="00FC72A0" w:rsidRDefault="00000000">
      <w:pPr>
        <w:pStyle w:val="ListBullet"/>
      </w:pPr>
      <w:r>
        <w:t>norms/conventions</w:t>
      </w:r>
    </w:p>
    <w:p w14:paraId="6008BD7C" w14:textId="77777777" w:rsidR="00FC72A0" w:rsidRDefault="00000000">
      <w:pPr>
        <w:pStyle w:val="ListBullet"/>
      </w:pPr>
      <w:r>
        <w:t>conflict</w:t>
      </w:r>
    </w:p>
    <w:p w14:paraId="4A5A1B8F" w14:textId="77777777" w:rsidR="00FC72A0" w:rsidRDefault="00000000">
      <w:pPr>
        <w:pStyle w:val="ListBullet"/>
      </w:pPr>
      <w:r>
        <w:t>institutional rules</w:t>
      </w:r>
    </w:p>
    <w:p w14:paraId="7DE00ACC" w14:textId="77777777" w:rsidR="00FC72A0" w:rsidRDefault="00000000">
      <w:pPr>
        <w:pStyle w:val="ListBullet"/>
      </w:pPr>
      <w:r>
        <w:t>resource state</w:t>
      </w:r>
    </w:p>
    <w:p w14:paraId="170B29C0" w14:textId="77777777" w:rsidR="00FC72A0" w:rsidRDefault="00000000">
      <w:r>
        <w:t>Policy can then be represented conceptually as P_t^i = f(H_t^i, c_t^i, G_t^i, D_t^i, A_t^i, S_t).</w:t>
      </w:r>
    </w:p>
    <w:p w14:paraId="224D64F9" w14:textId="77777777" w:rsidR="00FC72A0" w:rsidRDefault="00000000">
      <w:pPr>
        <w:pStyle w:val="Heading2"/>
      </w:pPr>
      <w:r>
        <w:t>2.6 First experiment</w:t>
      </w:r>
    </w:p>
    <w:p w14:paraId="0E275D1B" w14:textId="77777777" w:rsidR="00FC72A0" w:rsidRDefault="00000000">
      <w:r>
        <w:t>Repeated public-goods game with a 2 × 2 design:</w:t>
      </w:r>
    </w:p>
    <w:tbl>
      <w:tblPr>
        <w:tblStyle w:val="TableGrid"/>
        <w:tblW w:w="0" w:type="auto"/>
        <w:jc w:val="center"/>
        <w:tblLook w:val="04A0" w:firstRow="1" w:lastRow="0" w:firstColumn="1" w:lastColumn="0" w:noHBand="0" w:noVBand="1"/>
      </w:tblPr>
      <w:tblGrid>
        <w:gridCol w:w="3357"/>
        <w:gridCol w:w="3356"/>
        <w:gridCol w:w="3357"/>
      </w:tblGrid>
      <w:tr w:rsidR="00FC72A0" w14:paraId="298E4E5B" w14:textId="77777777">
        <w:trPr>
          <w:cantSplit/>
          <w:tblHeader/>
          <w:jc w:val="center"/>
        </w:trPr>
        <w:tc>
          <w:tcPr>
            <w:tcW w:w="3360" w:type="dxa"/>
            <w:shd w:val="clear" w:color="auto" w:fill="D9E6F2"/>
            <w:vAlign w:val="center"/>
          </w:tcPr>
          <w:p w14:paraId="172B9493" w14:textId="77777777" w:rsidR="00FC72A0" w:rsidRDefault="00000000">
            <w:r>
              <w:rPr>
                <w:b/>
              </w:rPr>
              <w:t>Population composition</w:t>
            </w:r>
          </w:p>
        </w:tc>
        <w:tc>
          <w:tcPr>
            <w:tcW w:w="3360" w:type="dxa"/>
            <w:shd w:val="clear" w:color="auto" w:fill="D9E6F2"/>
            <w:vAlign w:val="center"/>
          </w:tcPr>
          <w:p w14:paraId="7DEF94FA" w14:textId="77777777" w:rsidR="00FC72A0" w:rsidRDefault="00000000">
            <w:r>
              <w:rPr>
                <w:b/>
              </w:rPr>
              <w:t>No reputation</w:t>
            </w:r>
          </w:p>
        </w:tc>
        <w:tc>
          <w:tcPr>
            <w:tcW w:w="3360" w:type="dxa"/>
            <w:shd w:val="clear" w:color="auto" w:fill="D9E6F2"/>
            <w:vAlign w:val="center"/>
          </w:tcPr>
          <w:p w14:paraId="6B334942" w14:textId="77777777" w:rsidR="00FC72A0" w:rsidRDefault="00000000">
            <w:r>
              <w:rPr>
                <w:b/>
              </w:rPr>
              <w:t>Reputation</w:t>
            </w:r>
          </w:p>
        </w:tc>
      </w:tr>
      <w:tr w:rsidR="00FC72A0" w14:paraId="2508D15B" w14:textId="77777777">
        <w:trPr>
          <w:cantSplit/>
          <w:jc w:val="center"/>
        </w:trPr>
        <w:tc>
          <w:tcPr>
            <w:tcW w:w="3360" w:type="dxa"/>
            <w:tcMar>
              <w:top w:w="80" w:type="dxa"/>
              <w:left w:w="80" w:type="dxa"/>
              <w:bottom w:w="80" w:type="dxa"/>
              <w:right w:w="80" w:type="dxa"/>
            </w:tcMar>
          </w:tcPr>
          <w:p w14:paraId="5360C9C1" w14:textId="77777777" w:rsidR="00FC72A0" w:rsidRDefault="00000000">
            <w:r>
              <w:t>Affectively homogeneous</w:t>
            </w:r>
          </w:p>
        </w:tc>
        <w:tc>
          <w:tcPr>
            <w:tcW w:w="3360" w:type="dxa"/>
            <w:tcMar>
              <w:top w:w="80" w:type="dxa"/>
              <w:left w:w="80" w:type="dxa"/>
              <w:bottom w:w="80" w:type="dxa"/>
              <w:right w:w="80" w:type="dxa"/>
            </w:tcMar>
          </w:tcPr>
          <w:p w14:paraId="4328E301" w14:textId="77777777" w:rsidR="00FC72A0" w:rsidRDefault="00000000">
            <w:r>
              <w:t>Condition 1</w:t>
            </w:r>
          </w:p>
        </w:tc>
        <w:tc>
          <w:tcPr>
            <w:tcW w:w="3360" w:type="dxa"/>
            <w:tcMar>
              <w:top w:w="80" w:type="dxa"/>
              <w:left w:w="80" w:type="dxa"/>
              <w:bottom w:w="80" w:type="dxa"/>
              <w:right w:w="80" w:type="dxa"/>
            </w:tcMar>
          </w:tcPr>
          <w:p w14:paraId="12997ACD" w14:textId="77777777" w:rsidR="00FC72A0" w:rsidRDefault="00000000">
            <w:r>
              <w:t>Condition 2</w:t>
            </w:r>
          </w:p>
        </w:tc>
      </w:tr>
      <w:tr w:rsidR="00FC72A0" w14:paraId="157E0BA8" w14:textId="77777777">
        <w:trPr>
          <w:cantSplit/>
          <w:jc w:val="center"/>
        </w:trPr>
        <w:tc>
          <w:tcPr>
            <w:tcW w:w="3360" w:type="dxa"/>
            <w:tcMar>
              <w:top w:w="80" w:type="dxa"/>
              <w:left w:w="80" w:type="dxa"/>
              <w:bottom w:w="80" w:type="dxa"/>
              <w:right w:w="80" w:type="dxa"/>
            </w:tcMar>
          </w:tcPr>
          <w:p w14:paraId="5E546374" w14:textId="77777777" w:rsidR="00FC72A0" w:rsidRDefault="00000000">
            <w:r>
              <w:t>Affectively heterogeneous</w:t>
            </w:r>
          </w:p>
        </w:tc>
        <w:tc>
          <w:tcPr>
            <w:tcW w:w="3360" w:type="dxa"/>
            <w:tcMar>
              <w:top w:w="80" w:type="dxa"/>
              <w:left w:w="80" w:type="dxa"/>
              <w:bottom w:w="80" w:type="dxa"/>
              <w:right w:w="80" w:type="dxa"/>
            </w:tcMar>
          </w:tcPr>
          <w:p w14:paraId="66783959" w14:textId="77777777" w:rsidR="00FC72A0" w:rsidRDefault="00000000">
            <w:r>
              <w:t>Condition 3</w:t>
            </w:r>
          </w:p>
        </w:tc>
        <w:tc>
          <w:tcPr>
            <w:tcW w:w="3360" w:type="dxa"/>
            <w:tcMar>
              <w:top w:w="80" w:type="dxa"/>
              <w:left w:w="80" w:type="dxa"/>
              <w:bottom w:w="80" w:type="dxa"/>
              <w:right w:w="80" w:type="dxa"/>
            </w:tcMar>
          </w:tcPr>
          <w:p w14:paraId="2D3CEDDD" w14:textId="77777777" w:rsidR="00FC72A0" w:rsidRDefault="00000000">
            <w:r>
              <w:t>Condition 4</w:t>
            </w:r>
          </w:p>
        </w:tc>
      </w:tr>
    </w:tbl>
    <w:p w14:paraId="1F91F3BD" w14:textId="77777777" w:rsidR="00FC72A0" w:rsidRDefault="00FC72A0"/>
    <w:p w14:paraId="3D406CFB" w14:textId="77777777" w:rsidR="00FC72A0" w:rsidRDefault="00000000">
      <w:r>
        <w:t>Critical control: for each parameter, the homogeneous population is fixed at the exact empirical mean of the corresponding heterogeneous population distribution. Thus the population mean is held constant and the principal manipulated feature is between-agent variance/heterogeneity.</w:t>
      </w:r>
    </w:p>
    <w:p w14:paraId="6BA1B26C" w14:textId="77777777" w:rsidR="00FC72A0" w:rsidRDefault="00000000">
      <w:r>
        <w:t>Primary outcome: cooperation/contribution.</w:t>
      </w:r>
    </w:p>
    <w:p w14:paraId="3546BFE3" w14:textId="77777777" w:rsidR="00FC72A0" w:rsidRDefault="00000000">
      <w:r>
        <w:t>Secondary outcomes: recovery after defection, persistence of breakdown, fairness/inequality and stability of cooperation.</w:t>
      </w:r>
    </w:p>
    <w:p w14:paraId="763C3B75" w14:textId="77777777" w:rsidR="00FC72A0" w:rsidRDefault="00000000">
      <w:pPr>
        <w:pStyle w:val="Heading2"/>
      </w:pPr>
      <w:r>
        <w:t>2.7 Interpretation boundary</w:t>
      </w:r>
    </w:p>
    <w:p w14:paraId="7FC1E917" w14:textId="77777777" w:rsidR="00FC72A0" w:rsidRDefault="00000000">
      <w:r>
        <w:t>LLM-agent populations are treated as controlled computational laboratories for mechanism exploration and hypothesis generation, not as direct predictions of human society.</w:t>
      </w:r>
    </w:p>
    <w:p w14:paraId="4D1825A5" w14:textId="77777777" w:rsidR="00FC72A0" w:rsidRDefault="00000000">
      <w:pPr>
        <w:pStyle w:val="Heading1"/>
      </w:pPr>
      <w:r>
        <w:t>3. Scope and first six months</w:t>
      </w:r>
    </w:p>
    <w:p w14:paraId="32690262" w14:textId="77777777" w:rsidR="00FC72A0" w:rsidRDefault="00000000">
      <w:r>
        <w:t>The two ideas form a programme, not two simultaneous first-year projects. The first six months should focus on Idea 1: (1) finalize the theoretical/computational specification; (2) implement and technically validate the inspectable prototype; (3) verify condition isolation, safety gates and persistence/noise sensitivity; and (4) design and preregister the first controlled human study. Idea 2 is a later extension after the dyadic mechanisms have been empirically refined.</w:t>
      </w:r>
    </w:p>
    <w:p w14:paraId="018D4278" w14:textId="77777777" w:rsidR="00FC72A0" w:rsidRDefault="00000000">
      <w:pPr>
        <w:pStyle w:val="Heading1"/>
      </w:pPr>
      <w:r>
        <w:t>4. How the two ideas form one programme</w:t>
      </w:r>
    </w:p>
    <w:p w14:paraId="233BB968" w14:textId="77777777" w:rsidR="00FC72A0" w:rsidRDefault="00000000">
      <w:r>
        <w:t>Idea 1 tests the mechanism at the dyadic human–agent level. Idea 2 asks what happens when theoretically meaningful affective dynamics vary across populations and interact with social institutions. The programme therefore moves from individual cooperative mechanisms to collective consequences without treating the multi-agent study as an unrelated project.</w:t>
      </w:r>
    </w:p>
    <w:tbl>
      <w:tblPr>
        <w:tblW w:w="0" w:type="auto"/>
        <w:jc w:val="center"/>
        <w:tblLook w:val="04A0" w:firstRow="1" w:lastRow="0" w:firstColumn="1" w:lastColumn="0" w:noHBand="0" w:noVBand="1"/>
      </w:tblPr>
      <w:tblGrid>
        <w:gridCol w:w="10080"/>
      </w:tblGrid>
      <w:tr w:rsidR="00FC72A0" w14:paraId="71E2CDAC" w14:textId="77777777">
        <w:trPr>
          <w:cantSplit/>
          <w:jc w:val="center"/>
        </w:trPr>
        <w:tc>
          <w:tcPr>
            <w:tcW w:w="10080" w:type="dxa"/>
            <w:shd w:val="clear" w:color="auto" w:fill="EEF3F8"/>
            <w:tcMar>
              <w:top w:w="120" w:type="dxa"/>
              <w:left w:w="140" w:type="dxa"/>
              <w:bottom w:w="120" w:type="dxa"/>
              <w:right w:w="140" w:type="dxa"/>
            </w:tcMar>
          </w:tcPr>
          <w:p w14:paraId="45448D05" w14:textId="77777777" w:rsidR="00FC72A0" w:rsidRDefault="00000000">
            <w:r>
              <w:rPr>
                <w:b/>
              </w:rPr>
              <w:lastRenderedPageBreak/>
              <w:t xml:space="preserve">Programme logic: </w:t>
            </w:r>
            <w:r>
              <w:t>Theory-grounded candidate architecture → human–agent mechanism test → empirical refinement → controlled heterogeneity across agent populations → collective/institutional effects.</w:t>
            </w:r>
          </w:p>
        </w:tc>
      </w:tr>
    </w:tbl>
    <w:p w14:paraId="24F92158" w14:textId="77777777" w:rsidR="00FC72A0" w:rsidRDefault="00FC72A0"/>
    <w:sectPr w:rsidR="00FC72A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752619">
    <w:abstractNumId w:val="8"/>
  </w:num>
  <w:num w:numId="2" w16cid:durableId="1051347392">
    <w:abstractNumId w:val="6"/>
  </w:num>
  <w:num w:numId="3" w16cid:durableId="180780632">
    <w:abstractNumId w:val="5"/>
  </w:num>
  <w:num w:numId="4" w16cid:durableId="1288854294">
    <w:abstractNumId w:val="4"/>
  </w:num>
  <w:num w:numId="5" w16cid:durableId="400371387">
    <w:abstractNumId w:val="7"/>
  </w:num>
  <w:num w:numId="6" w16cid:durableId="169150223">
    <w:abstractNumId w:val="3"/>
  </w:num>
  <w:num w:numId="7" w16cid:durableId="1549680821">
    <w:abstractNumId w:val="2"/>
  </w:num>
  <w:num w:numId="8" w16cid:durableId="951088483">
    <w:abstractNumId w:val="1"/>
  </w:num>
  <w:num w:numId="9" w16cid:durableId="14151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4920"/>
    <w:rsid w:val="00B47730"/>
    <w:rsid w:val="00C764BB"/>
    <w:rsid w:val="00CB0664"/>
    <w:rsid w:val="00FC693F"/>
    <w:rsid w:val="00FC72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C64F1"/>
  <w14:defaultImageDpi w14:val="300"/>
  <w15:docId w15:val="{0F178E38-ED76-614C-99C3-EEA30206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1371</Words>
  <Characters>7817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2026-09-10T13:59:00Z</dcterms:created>
  <dcterms:modified xsi:type="dcterms:W3CDTF">2026-09-10T13:59:00Z</dcterms:modified>
  <cp:category/>
</cp:coreProperties>
</file>