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sz w:val="44"/>
        </w:rPr>
        <w:t>Dynamic Affective Cooperation</w:t>
      </w:r>
    </w:p>
    <w:p>
      <w:pPr>
        <w:jc w:val="center"/>
      </w:pPr>
      <w:r>
        <w:rPr>
          <w:rFonts w:ascii="Aptos Display" w:hAnsi="Aptos Display"/>
          <w:b/>
          <w:sz w:val="32"/>
        </w:rPr>
        <w:t>Prototype Implementation Overview</w:t>
      </w:r>
    </w:p>
    <w:p>
      <w:pPr>
        <w:jc w:val="center"/>
      </w:pPr>
      <w:r>
        <w:rPr>
          <w:rFonts w:ascii="Aptos" w:hAnsi="Aptos"/>
          <w:i/>
          <w:color w:val="5A5A5A"/>
          <w:sz w:val="20"/>
        </w:rPr>
        <w:t>Panel review version - concise architecture, experimental logic, and execution flow</w:t>
      </w:r>
    </w:p>
    <w:p>
      <w:pPr>
        <w:jc w:val="center"/>
      </w:pPr>
      <w:r>
        <w:rPr>
          <w:color w:val="505050"/>
          <w:sz w:val="19"/>
        </w:rPr>
        <w:t>Research context: Dynamic cooperation with emotionally capable LLMs | Cognitive Science / Agentic AI</w:t>
      </w:r>
    </w:p>
    <w:p>
      <w:r>
        <w:t>This brief summarizes how the prototype is structured and how one interaction turn is processed. It intentionally omits most class definitions, method signatures, schema boilerplate, individual unit-test names, and implementation-review commentary. The scientific variables, experimental-condition separation, state dynamics, policy logic, and reproducibility safeguards are retained.</w:t>
      </w:r>
    </w:p>
    <w:p>
      <w:pPr>
        <w:pStyle w:val="Heading1"/>
      </w:pPr>
      <w:r>
        <w:t>1. What the prototype is designed to test</w:t>
      </w:r>
    </w:p>
    <w:p>
      <w:r>
        <w:t>The prototype operationalizes a controlled comparison of three forms of LLM cooperation. All conditions receive the same participant input and task context, but they differ in whether and how the system uses inferred human state across turns. This makes it possible to test whether a dynamically maintained agent state changes cooperative behavior beyond a task-only baseline or a system that reacts only to the current cue.</w:t>
      </w:r>
    </w:p>
    <w:p>
      <w:pPr>
        <w:pStyle w:val="Heading1"/>
      </w:pPr>
      <w:r>
        <w:t>2. Experimental conditions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vAlign w:val="center"/>
            <w:shd w:fill="E8EEF7"/>
          </w:tcPr>
          <w:p>
            <w:pPr>
              <w:spacing w:after="0"/>
            </w:pPr>
            <w:r/>
            <w:r>
              <w:rPr>
                <w:rFonts w:ascii="Aptos" w:hAnsi="Aptos" w:eastAsia="Aptos"/>
                <w:b/>
                <w:sz w:val="18"/>
              </w:rPr>
              <w:t>Condition</w:t>
            </w:r>
          </w:p>
        </w:tc>
        <w:tc>
          <w:tcPr>
            <w:tcW w:type="dxa" w:w="2520"/>
            <w:vAlign w:val="center"/>
            <w:shd w:fill="E8EEF7"/>
          </w:tcPr>
          <w:p>
            <w:pPr>
              <w:spacing w:after="0"/>
            </w:pPr>
            <w:r/>
            <w:r>
              <w:rPr>
                <w:rFonts w:ascii="Aptos" w:hAnsi="Aptos" w:eastAsia="Aptos"/>
                <w:b/>
                <w:sz w:val="18"/>
              </w:rPr>
              <w:t>Human appraisal used by policy?</w:t>
            </w:r>
          </w:p>
        </w:tc>
        <w:tc>
          <w:tcPr>
            <w:tcW w:type="dxa" w:w="2520"/>
            <w:vAlign w:val="center"/>
            <w:shd w:fill="E8EEF7"/>
          </w:tcPr>
          <w:p>
            <w:pPr>
              <w:spacing w:after="0"/>
            </w:pPr>
            <w:r/>
            <w:r>
              <w:rPr>
                <w:rFonts w:ascii="Aptos" w:hAnsi="Aptos" w:eastAsia="Aptos"/>
                <w:b/>
                <w:sz w:val="18"/>
              </w:rPr>
              <w:t>Persistent agent state?</w:t>
            </w:r>
          </w:p>
        </w:tc>
        <w:tc>
          <w:tcPr>
            <w:tcW w:type="dxa" w:w="2520"/>
            <w:vAlign w:val="center"/>
            <w:shd w:fill="E8EEF7"/>
          </w:tcPr>
          <w:p>
            <w:pPr>
              <w:spacing w:after="0"/>
            </w:pPr>
            <w:r/>
            <w:r>
              <w:rPr>
                <w:rFonts w:ascii="Aptos" w:hAnsi="Aptos" w:eastAsia="Aptos"/>
                <w:b/>
                <w:sz w:val="18"/>
              </w:rPr>
              <w:t>Interpretation</w:t>
            </w:r>
          </w:p>
        </w:tc>
      </w:tr>
      <w:tr>
        <w:trPr>
          <w:cantSplit/>
        </w:trPr>
        <w:tc>
          <w:tcPr>
            <w:tcW w:type="dxa" w:w="2520"/>
            <w:vAlign w:val="center"/>
          </w:tcPr>
          <w:p>
            <w:pPr>
              <w:spacing w:after="0"/>
            </w:pPr>
            <w:r/>
            <w:r>
              <w:rPr>
                <w:rFonts w:ascii="Aptos" w:hAnsi="Aptos" w:eastAsia="Aptos"/>
                <w:b w:val="0"/>
                <w:sz w:val="17"/>
              </w:rPr>
              <w:t>TASK_FOCUSED</w:t>
            </w:r>
          </w:p>
        </w:tc>
        <w:tc>
          <w:tcPr>
            <w:tcW w:type="dxa" w:w="2520"/>
            <w:vAlign w:val="center"/>
          </w:tcPr>
          <w:p>
            <w:pPr>
              <w:spacing w:after="0"/>
            </w:pPr>
            <w:r/>
            <w:r>
              <w:rPr>
                <w:rFonts w:ascii="Aptos" w:hAnsi="Aptos" w:eastAsia="Aptos"/>
                <w:b w:val="0"/>
                <w:sz w:val="17"/>
              </w:rPr>
              <w:t>No</w:t>
            </w:r>
          </w:p>
        </w:tc>
        <w:tc>
          <w:tcPr>
            <w:tcW w:type="dxa" w:w="2520"/>
            <w:vAlign w:val="center"/>
          </w:tcPr>
          <w:p>
            <w:pPr>
              <w:spacing w:after="0"/>
            </w:pPr>
            <w:r/>
            <w:r>
              <w:rPr>
                <w:rFonts w:ascii="Aptos" w:hAnsi="Aptos" w:eastAsia="Aptos"/>
                <w:b w:val="0"/>
                <w:sz w:val="17"/>
              </w:rPr>
              <w:t>No</w:t>
            </w:r>
          </w:p>
        </w:tc>
        <w:tc>
          <w:tcPr>
            <w:tcW w:type="dxa" w:w="2520"/>
            <w:vAlign w:val="center"/>
          </w:tcPr>
          <w:p>
            <w:pPr>
              <w:spacing w:after="0"/>
            </w:pPr>
            <w:r/>
            <w:r>
              <w:rPr>
                <w:rFonts w:ascii="Aptos" w:hAnsi="Aptos" w:eastAsia="Aptos"/>
                <w:b w:val="0"/>
                <w:sz w:val="17"/>
              </w:rPr>
              <w:t>Task/goal evidence only. H_t and c_t may still be computed for logging/dashboard visibility, but the policy does not read them.</w:t>
            </w:r>
          </w:p>
        </w:tc>
      </w:tr>
      <w:tr>
        <w:trPr>
          <w:cantSplit/>
        </w:trPr>
        <w:tc>
          <w:tcPr>
            <w:tcW w:type="dxa" w:w="2520"/>
            <w:vAlign w:val="center"/>
          </w:tcPr>
          <w:p>
            <w:pPr>
              <w:spacing w:after="0"/>
            </w:pPr>
            <w:r/>
            <w:r>
              <w:rPr>
                <w:rFonts w:ascii="Aptos" w:hAnsi="Aptos" w:eastAsia="Aptos"/>
                <w:b w:val="0"/>
                <w:sz w:val="17"/>
              </w:rPr>
              <w:t>CURRENT_CUE</w:t>
            </w:r>
          </w:p>
        </w:tc>
        <w:tc>
          <w:tcPr>
            <w:tcW w:type="dxa" w:w="2520"/>
            <w:vAlign w:val="center"/>
          </w:tcPr>
          <w:p>
            <w:pPr>
              <w:spacing w:after="0"/>
            </w:pPr>
            <w:r/>
            <w:r>
              <w:rPr>
                <w:rFonts w:ascii="Aptos" w:hAnsi="Aptos" w:eastAsia="Aptos"/>
                <w:b w:val="0"/>
                <w:sz w:val="17"/>
              </w:rPr>
              <w:t>Yes</w:t>
            </w:r>
          </w:p>
        </w:tc>
        <w:tc>
          <w:tcPr>
            <w:tcW w:type="dxa" w:w="2520"/>
            <w:vAlign w:val="center"/>
          </w:tcPr>
          <w:p>
            <w:pPr>
              <w:spacing w:after="0"/>
            </w:pPr>
            <w:r/>
            <w:r>
              <w:rPr>
                <w:rFonts w:ascii="Aptos" w:hAnsi="Aptos" w:eastAsia="Aptos"/>
                <w:b w:val="0"/>
                <w:sz w:val="17"/>
              </w:rPr>
              <w:t>No (rho = 0)</w:t>
            </w:r>
          </w:p>
        </w:tc>
        <w:tc>
          <w:tcPr>
            <w:tcW w:type="dxa" w:w="2520"/>
            <w:vAlign w:val="center"/>
          </w:tcPr>
          <w:p>
            <w:pPr>
              <w:spacing w:after="0"/>
            </w:pPr>
            <w:r/>
            <w:r>
              <w:rPr>
                <w:rFonts w:ascii="Aptos" w:hAnsi="Aptos" w:eastAsia="Aptos"/>
                <w:b w:val="0"/>
                <w:sz w:val="17"/>
              </w:rPr>
              <w:t>Uses the current appraisal and task state, but carries no affective state from the previous turn.</w:t>
            </w:r>
          </w:p>
        </w:tc>
      </w:tr>
      <w:tr>
        <w:trPr>
          <w:cantSplit/>
        </w:trPr>
        <w:tc>
          <w:tcPr>
            <w:tcW w:type="dxa" w:w="2520"/>
            <w:vAlign w:val="center"/>
          </w:tcPr>
          <w:p>
            <w:pPr>
              <w:spacing w:after="0"/>
            </w:pPr>
            <w:r/>
            <w:r>
              <w:rPr>
                <w:rFonts w:ascii="Aptos" w:hAnsi="Aptos" w:eastAsia="Aptos"/>
                <w:b w:val="0"/>
                <w:sz w:val="17"/>
              </w:rPr>
              <w:t>DYNAMIC</w:t>
            </w:r>
          </w:p>
        </w:tc>
        <w:tc>
          <w:tcPr>
            <w:tcW w:type="dxa" w:w="2520"/>
            <w:vAlign w:val="center"/>
          </w:tcPr>
          <w:p>
            <w:pPr>
              <w:spacing w:after="0"/>
            </w:pPr>
            <w:r/>
            <w:r>
              <w:rPr>
                <w:rFonts w:ascii="Aptos" w:hAnsi="Aptos" w:eastAsia="Aptos"/>
                <w:b w:val="0"/>
                <w:sz w:val="17"/>
              </w:rPr>
              <w:t>Yes</w:t>
            </w:r>
          </w:p>
        </w:tc>
        <w:tc>
          <w:tcPr>
            <w:tcW w:type="dxa" w:w="2520"/>
            <w:vAlign w:val="center"/>
          </w:tcPr>
          <w:p>
            <w:pPr>
              <w:spacing w:after="0"/>
            </w:pPr>
            <w:r/>
            <w:r>
              <w:rPr>
                <w:rFonts w:ascii="Aptos" w:hAnsi="Aptos" w:eastAsia="Aptos"/>
                <w:b w:val="0"/>
                <w:sz w:val="17"/>
              </w:rPr>
              <w:t>Yes (rho &gt; 0)</w:t>
            </w:r>
          </w:p>
        </w:tc>
        <w:tc>
          <w:tcPr>
            <w:tcW w:type="dxa" w:w="2520"/>
            <w:vAlign w:val="center"/>
          </w:tcPr>
          <w:p>
            <w:pPr>
              <w:spacing w:after="0"/>
            </w:pPr>
            <w:r/>
            <w:r>
              <w:rPr>
                <w:rFonts w:ascii="Aptos" w:hAnsi="Aptos" w:eastAsia="Aptos"/>
                <w:b w:val="0"/>
                <w:sz w:val="17"/>
              </w:rPr>
              <w:t>Uses the same current-turn evidence plus a persistent agent state that evolves across the interaction.</w:t>
            </w:r>
          </w:p>
        </w:tc>
      </w:tr>
    </w:tbl>
    <w:p>
      <w:r>
        <w:t>The critical comparison is CURRENT_CUE versus DYNAMIC: both use the same appraisal, goals, derived task state, and policy rules on a given turn; the intended difference is persistence in A_t. TASK_FOCUSED provides the reduced baseline.</w:t>
      </w:r>
    </w:p>
    <w:p>
      <w:pPr>
        <w:pStyle w:val="Heading1"/>
      </w:pPr>
      <w:r>
        <w:t>3. High-level architecture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cantSplit/>
        </w:trPr>
        <w:tc>
          <w:tcPr>
            <w:tcW w:type="dxa" w:w="1440"/>
            <w:vAlign w:val="center"/>
            <w:shd w:fill="F2F2F2"/>
          </w:tcPr>
          <w:p>
            <w:pPr>
              <w:spacing w:after="0"/>
            </w:pPr>
            <w:r/>
            <w:r>
              <w:rPr>
                <w:rFonts w:ascii="Aptos" w:hAnsi="Aptos" w:eastAsia="Aptos"/>
                <w:b/>
                <w:sz w:val="17"/>
              </w:rPr>
              <w:t>Input</w:t>
            </w:r>
          </w:p>
        </w:tc>
        <w:tc>
          <w:tcPr>
            <w:tcW w:type="dxa" w:w="1440"/>
            <w:vAlign w:val="center"/>
            <w:shd w:fill="F2F2F2"/>
          </w:tcPr>
          <w:p>
            <w:pPr>
              <w:spacing w:after="0"/>
            </w:pPr>
            <w:r/>
            <w:r>
              <w:rPr>
                <w:rFonts w:ascii="Aptos" w:hAnsi="Aptos" w:eastAsia="Aptos"/>
                <w:b/>
                <w:sz w:val="17"/>
              </w:rPr>
              <w:t>Appraisal</w:t>
            </w:r>
          </w:p>
        </w:tc>
        <w:tc>
          <w:tcPr>
            <w:tcW w:type="dxa" w:w="1440"/>
            <w:vAlign w:val="center"/>
            <w:shd w:fill="F2F2F2"/>
          </w:tcPr>
          <w:p>
            <w:pPr>
              <w:spacing w:after="0"/>
            </w:pPr>
            <w:r/>
            <w:r>
              <w:rPr>
                <w:rFonts w:ascii="Aptos" w:hAnsi="Aptos" w:eastAsia="Aptos"/>
                <w:b/>
                <w:sz w:val="17"/>
              </w:rPr>
              <w:t>Goal + task state</w:t>
            </w:r>
          </w:p>
        </w:tc>
        <w:tc>
          <w:tcPr>
            <w:tcW w:type="dxa" w:w="1440"/>
            <w:vAlign w:val="center"/>
            <w:shd w:fill="F2F2F2"/>
          </w:tcPr>
          <w:p>
            <w:pPr>
              <w:spacing w:after="0"/>
            </w:pPr>
            <w:r/>
            <w:r>
              <w:rPr>
                <w:rFonts w:ascii="Aptos" w:hAnsi="Aptos" w:eastAsia="Aptos"/>
                <w:b/>
                <w:sz w:val="17"/>
              </w:rPr>
              <w:t>Agent state</w:t>
            </w:r>
          </w:p>
        </w:tc>
        <w:tc>
          <w:tcPr>
            <w:tcW w:type="dxa" w:w="1440"/>
            <w:vAlign w:val="center"/>
            <w:shd w:fill="F2F2F2"/>
          </w:tcPr>
          <w:p>
            <w:pPr>
              <w:spacing w:after="0"/>
            </w:pPr>
            <w:r/>
            <w:r>
              <w:rPr>
                <w:rFonts w:ascii="Aptos" w:hAnsi="Aptos" w:eastAsia="Aptos"/>
                <w:b/>
                <w:sz w:val="17"/>
              </w:rPr>
              <w:t>Policy</w:t>
            </w:r>
          </w:p>
        </w:tc>
        <w:tc>
          <w:tcPr>
            <w:tcW w:type="dxa" w:w="1440"/>
            <w:vAlign w:val="center"/>
            <w:shd w:fill="F2F2F2"/>
          </w:tcPr>
          <w:p>
            <w:pPr>
              <w:spacing w:after="0"/>
            </w:pPr>
            <w:r/>
            <w:r>
              <w:rPr>
                <w:rFonts w:ascii="Aptos" w:hAnsi="Aptos" w:eastAsia="Aptos"/>
                <w:b/>
                <w:sz w:val="17"/>
              </w:rPr>
              <w:t>Response</w:t>
            </w:r>
          </w:p>
        </w:tc>
        <w:tc>
          <w:tcPr>
            <w:tcW w:type="dxa" w:w="1440"/>
            <w:vAlign w:val="center"/>
            <w:shd w:fill="F2F2F2"/>
          </w:tcPr>
          <w:p>
            <w:pPr>
              <w:spacing w:after="0"/>
            </w:pPr>
            <w:r/>
            <w:r>
              <w:rPr>
                <w:rFonts w:ascii="Aptos" w:hAnsi="Aptos" w:eastAsia="Aptos"/>
                <w:b/>
                <w:sz w:val="17"/>
              </w:rPr>
              <w:t>Record / dashboard</w:t>
            </w:r>
          </w:p>
        </w:tc>
      </w:tr>
    </w:tbl>
    <w:p>
      <w:pPr>
        <w:pStyle w:val="SmallNote"/>
        <w:jc w:val="center"/>
      </w:pPr>
      <w:r>
        <w:t>O_t  -&gt;  H_t, c_t  +  G_t, D_t  -&gt;  A*_t, A_t  -&gt;  P_t  -&gt;  R_t  -&gt;  TurnRecord</w:t>
      </w:r>
    </w:p>
    <w:p>
      <w:r>
        <w:t>The implementation is intentionally modular. The observation layer captures the current utterance and the same pre-turn history for every condition. The appraisal layer estimates task-relevant human signals and an evidence-strength-based confidence. Goal and task-derived state are maintained separately from affective inference. The transition layer converts those inputs into an agent target state and, only in the DYNAMIC condition, combines it with the previous agent state. A deterministic policy layer then selects the response strategy, and the language model realizes that strategy in natural language.</w:t>
      </w:r>
    </w:p>
    <w:p>
      <w:pPr>
        <w:pStyle w:val="Heading1"/>
      </w:pPr>
      <w:r>
        <w:t>4. Core state representation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E8EEF7"/>
          </w:tcPr>
          <w:p>
            <w:pPr>
              <w:spacing w:after="0"/>
            </w:pPr>
            <w:r/>
            <w:r>
              <w:rPr>
                <w:rFonts w:ascii="Aptos" w:hAnsi="Aptos" w:eastAsia="Aptos"/>
                <w:b/>
                <w:sz w:val="18"/>
              </w:rPr>
              <w:t>Object</w:t>
            </w:r>
          </w:p>
        </w:tc>
        <w:tc>
          <w:tcPr>
            <w:tcW w:type="dxa" w:w="3360"/>
            <w:vAlign w:val="center"/>
            <w:shd w:fill="E8EEF7"/>
          </w:tcPr>
          <w:p>
            <w:pPr>
              <w:spacing w:after="0"/>
            </w:pPr>
            <w:r/>
            <w:r>
              <w:rPr>
                <w:rFonts w:ascii="Aptos" w:hAnsi="Aptos" w:eastAsia="Aptos"/>
                <w:b/>
                <w:sz w:val="18"/>
              </w:rPr>
              <w:t>What it represents</w:t>
            </w:r>
          </w:p>
        </w:tc>
        <w:tc>
          <w:tcPr>
            <w:tcW w:type="dxa" w:w="3360"/>
            <w:vAlign w:val="center"/>
            <w:shd w:fill="E8EEF7"/>
          </w:tcPr>
          <w:p>
            <w:pPr>
              <w:spacing w:after="0"/>
            </w:pPr>
            <w:r/>
            <w:r>
              <w:rPr>
                <w:rFonts w:ascii="Aptos" w:hAnsi="Aptos" w:eastAsia="Aptos"/>
                <w:b/>
                <w:sz w:val="18"/>
              </w:rPr>
              <w:t>Key implementation constraint</w:t>
            </w:r>
          </w:p>
        </w:tc>
      </w:tr>
      <w:tr>
        <w:trPr>
          <w:cantSplit/>
        </w:trPr>
        <w:tc>
          <w:tcPr>
            <w:tcW w:type="dxa" w:w="3360"/>
            <w:vAlign w:val="center"/>
          </w:tcPr>
          <w:p>
            <w:pPr>
              <w:spacing w:after="0"/>
            </w:pPr>
            <w:r/>
            <w:r>
              <w:rPr>
                <w:rFonts w:ascii="Aptos" w:hAnsi="Aptos" w:eastAsia="Aptos"/>
                <w:b w:val="0"/>
                <w:sz w:val="17"/>
              </w:rPr>
              <w:t>O_t - Observation</w:t>
            </w:r>
          </w:p>
        </w:tc>
        <w:tc>
          <w:tcPr>
            <w:tcW w:type="dxa" w:w="3360"/>
            <w:vAlign w:val="center"/>
          </w:tcPr>
          <w:p>
            <w:pPr>
              <w:spacing w:after="0"/>
            </w:pPr>
            <w:r/>
            <w:r>
              <w:rPr>
                <w:rFonts w:ascii="Aptos" w:hAnsi="Aptos" w:eastAsia="Aptos"/>
                <w:b w:val="0"/>
                <w:sz w:val="17"/>
              </w:rPr>
              <w:t>Current user text, task context, explicit choice/confidence, and pre-turn raw history.</w:t>
            </w:r>
          </w:p>
        </w:tc>
        <w:tc>
          <w:tcPr>
            <w:tcW w:type="dxa" w:w="3360"/>
            <w:vAlign w:val="center"/>
          </w:tcPr>
          <w:p>
            <w:pPr>
              <w:spacing w:after="0"/>
            </w:pPr>
            <w:r/>
            <w:r>
              <w:rPr>
                <w:rFonts w:ascii="Aptos" w:hAnsi="Aptos" w:eastAsia="Aptos"/>
                <w:b w:val="0"/>
                <w:sz w:val="17"/>
              </w:rPr>
              <w:t>The same observation/history snapshot is shared across conditions for a comparison turn.</w:t>
            </w:r>
          </w:p>
        </w:tc>
      </w:tr>
      <w:tr>
        <w:trPr>
          <w:cantSplit/>
        </w:trPr>
        <w:tc>
          <w:tcPr>
            <w:tcW w:type="dxa" w:w="3360"/>
            <w:vAlign w:val="center"/>
          </w:tcPr>
          <w:p>
            <w:pPr>
              <w:spacing w:after="0"/>
            </w:pPr>
            <w:r/>
            <w:r>
              <w:rPr>
                <w:rFonts w:ascii="Aptos" w:hAnsi="Aptos" w:eastAsia="Aptos"/>
                <w:b w:val="0"/>
                <w:sz w:val="17"/>
              </w:rPr>
              <w:t>H_t - Human appraisal</w:t>
            </w:r>
          </w:p>
        </w:tc>
        <w:tc>
          <w:tcPr>
            <w:tcW w:type="dxa" w:w="3360"/>
            <w:vAlign w:val="center"/>
          </w:tcPr>
          <w:p>
            <w:pPr>
              <w:spacing w:after="0"/>
            </w:pPr>
            <w:r/>
            <w:r>
              <w:rPr>
                <w:rFonts w:ascii="Aptos" w:hAnsi="Aptos" w:eastAsia="Aptos"/>
                <w:b w:val="0"/>
                <w:sz w:val="17"/>
              </w:rPr>
              <w:t>Goal relevance, uncertainty, perceived control, affect intensity, possible affect, evidence tags/strength.</w:t>
            </w:r>
          </w:p>
        </w:tc>
        <w:tc>
          <w:tcPr>
            <w:tcW w:type="dxa" w:w="3360"/>
            <w:vAlign w:val="center"/>
          </w:tcPr>
          <w:p>
            <w:pPr>
              <w:spacing w:after="0"/>
            </w:pPr>
            <w:r/>
            <w:r>
              <w:rPr>
                <w:rFonts w:ascii="Aptos" w:hAnsi="Aptos" w:eastAsia="Aptos"/>
                <w:b w:val="0"/>
                <w:sz w:val="17"/>
              </w:rPr>
              <w:t>Possible affect is secondary; confidence c_t comes from evidence strength rather than from the appraisal scores themselves.</w:t>
            </w:r>
          </w:p>
        </w:tc>
      </w:tr>
      <w:tr>
        <w:trPr>
          <w:cantSplit/>
        </w:trPr>
        <w:tc>
          <w:tcPr>
            <w:tcW w:type="dxa" w:w="3360"/>
            <w:vAlign w:val="center"/>
          </w:tcPr>
          <w:p>
            <w:pPr>
              <w:spacing w:after="0"/>
            </w:pPr>
            <w:r/>
            <w:r>
              <w:rPr>
                <w:rFonts w:ascii="Aptos" w:hAnsi="Aptos" w:eastAsia="Aptos"/>
                <w:b w:val="0"/>
                <w:sz w:val="17"/>
              </w:rPr>
              <w:t>G_t - Goal state</w:t>
            </w:r>
          </w:p>
        </w:tc>
        <w:tc>
          <w:tcPr>
            <w:tcW w:type="dxa" w:w="3360"/>
            <w:vAlign w:val="center"/>
          </w:tcPr>
          <w:p>
            <w:pPr>
              <w:spacing w:after="0"/>
            </w:pPr>
            <w:r/>
            <w:r>
              <w:rPr>
                <w:rFonts w:ascii="Aptos" w:hAnsi="Aptos" w:eastAsia="Aptos"/>
                <w:b w:val="0"/>
                <w:sz w:val="17"/>
              </w:rPr>
              <w:t>Objective, value priorities, stakes, task constraints, autonomy, and safety risk.</w:t>
            </w:r>
          </w:p>
        </w:tc>
        <w:tc>
          <w:tcPr>
            <w:tcW w:type="dxa" w:w="3360"/>
            <w:vAlign w:val="center"/>
          </w:tcPr>
          <w:p>
            <w:pPr>
              <w:spacing w:after="0"/>
            </w:pPr>
            <w:r/>
            <w:r>
              <w:rPr>
                <w:rFonts w:ascii="Aptos" w:hAnsi="Aptos" w:eastAsia="Aptos"/>
                <w:b w:val="0"/>
                <w:sz w:val="17"/>
              </w:rPr>
              <w:t>Affective inference cannot silently rewrite goals; updates come only from explicit/task/researcher sources.</w:t>
            </w:r>
          </w:p>
        </w:tc>
      </w:tr>
      <w:tr>
        <w:trPr>
          <w:cantSplit/>
        </w:trPr>
        <w:tc>
          <w:tcPr>
            <w:tcW w:type="dxa" w:w="3360"/>
            <w:vAlign w:val="center"/>
          </w:tcPr>
          <w:p>
            <w:pPr>
              <w:spacing w:after="0"/>
            </w:pPr>
            <w:r/>
            <w:r>
              <w:rPr>
                <w:rFonts w:ascii="Aptos" w:hAnsi="Aptos" w:eastAsia="Aptos"/>
                <w:b w:val="0"/>
                <w:sz w:val="17"/>
              </w:rPr>
              <w:t>D_t - Derived interaction state</w:t>
            </w:r>
          </w:p>
        </w:tc>
        <w:tc>
          <w:tcPr>
            <w:tcW w:type="dxa" w:w="3360"/>
            <w:vAlign w:val="center"/>
          </w:tcPr>
          <w:p>
            <w:pPr>
              <w:spacing w:after="0"/>
            </w:pPr>
            <w:r/>
            <w:r>
              <w:rPr>
                <w:rFonts w:ascii="Aptos" w:hAnsi="Aptos" w:eastAsia="Aptos"/>
                <w:b w:val="0"/>
                <w:sz w:val="17"/>
              </w:rPr>
              <w:t>Goal conflict and evidence ambiguity derived from task structure.</w:t>
            </w:r>
          </w:p>
        </w:tc>
        <w:tc>
          <w:tcPr>
            <w:tcW w:type="dxa" w:w="3360"/>
            <w:vAlign w:val="center"/>
          </w:tcPr>
          <w:p>
            <w:pPr>
              <w:spacing w:after="0"/>
            </w:pPr>
            <w:r/>
            <w:r>
              <w:rPr>
                <w:rFonts w:ascii="Aptos" w:hAnsi="Aptos" w:eastAsia="Aptos"/>
                <w:b w:val="0"/>
                <w:sz w:val="17"/>
              </w:rPr>
              <w:t>D_t is computed independently of H_t, preventing affective inference from contaminating task-derived variables.</w:t>
            </w:r>
          </w:p>
        </w:tc>
      </w:tr>
      <w:tr>
        <w:trPr>
          <w:cantSplit/>
        </w:trPr>
        <w:tc>
          <w:tcPr>
            <w:tcW w:type="dxa" w:w="3360"/>
            <w:vAlign w:val="center"/>
          </w:tcPr>
          <w:p>
            <w:pPr>
              <w:spacing w:after="0"/>
            </w:pPr>
            <w:r/>
            <w:r>
              <w:rPr>
                <w:rFonts w:ascii="Aptos" w:hAnsi="Aptos" w:eastAsia="Aptos"/>
                <w:b w:val="0"/>
                <w:sz w:val="17"/>
              </w:rPr>
              <w:t>A*_t / A_t - Agent target / persistent state</w:t>
            </w:r>
          </w:p>
        </w:tc>
        <w:tc>
          <w:tcPr>
            <w:tcW w:type="dxa" w:w="3360"/>
            <w:vAlign w:val="center"/>
          </w:tcPr>
          <w:p>
            <w:pPr>
              <w:spacing w:after="0"/>
            </w:pPr>
            <w:r/>
            <w:r>
              <w:rPr>
                <w:rFonts w:ascii="Aptos" w:hAnsi="Aptos" w:eastAsia="Aptos"/>
                <w:b w:val="0"/>
                <w:sz w:val="17"/>
              </w:rPr>
              <w:t>Motivational priority, decision-information priority, and intervention readiness.</w:t>
            </w:r>
          </w:p>
        </w:tc>
        <w:tc>
          <w:tcPr>
            <w:tcW w:type="dxa" w:w="3360"/>
            <w:vAlign w:val="center"/>
          </w:tcPr>
          <w:p>
            <w:pPr>
              <w:spacing w:after="0"/>
            </w:pPr>
            <w:r/>
            <w:r>
              <w:rPr>
                <w:rFonts w:ascii="Aptos" w:hAnsi="Aptos" w:eastAsia="Aptos"/>
                <w:b w:val="0"/>
                <w:sz w:val="17"/>
              </w:rPr>
              <w:t>A_t exists only for affect-enabled conditions; persistence differentiates DYNAMIC from CURRENT_CUE.</w:t>
            </w:r>
          </w:p>
        </w:tc>
      </w:tr>
      <w:tr>
        <w:trPr>
          <w:cantSplit/>
        </w:trPr>
        <w:tc>
          <w:tcPr>
            <w:tcW w:type="dxa" w:w="3360"/>
            <w:vAlign w:val="center"/>
          </w:tcPr>
          <w:p>
            <w:pPr>
              <w:spacing w:after="0"/>
            </w:pPr>
            <w:r/>
            <w:r>
              <w:rPr>
                <w:rFonts w:ascii="Aptos" w:hAnsi="Aptos" w:eastAsia="Aptos"/>
                <w:b w:val="0"/>
                <w:sz w:val="17"/>
              </w:rPr>
              <w:t>P_t - Policy state</w:t>
            </w:r>
          </w:p>
        </w:tc>
        <w:tc>
          <w:tcPr>
            <w:tcW w:type="dxa" w:w="3360"/>
            <w:vAlign w:val="center"/>
          </w:tcPr>
          <w:p>
            <w:pPr>
              <w:spacing w:after="0"/>
            </w:pPr>
            <w:r/>
            <w:r>
              <w:rPr>
                <w:rFonts w:ascii="Aptos" w:hAnsi="Aptos" w:eastAsia="Aptos"/>
                <w:b w:val="0"/>
                <w:sz w:val="17"/>
              </w:rPr>
              <w:t>Primary/secondary response policy, rule rationale, hard constraints, and state-relevance flags.</w:t>
            </w:r>
          </w:p>
        </w:tc>
        <w:tc>
          <w:tcPr>
            <w:tcW w:type="dxa" w:w="3360"/>
            <w:vAlign w:val="center"/>
          </w:tcPr>
          <w:p>
            <w:pPr>
              <w:spacing w:after="0"/>
            </w:pPr>
            <w:r/>
            <w:r>
              <w:rPr>
                <w:rFonts w:ascii="Aptos" w:hAnsi="Aptos" w:eastAsia="Aptos"/>
                <w:b w:val="0"/>
                <w:sz w:val="17"/>
              </w:rPr>
              <w:t>Policy selection is auditable before natural-language generation.</w:t>
            </w:r>
          </w:p>
        </w:tc>
      </w:tr>
    </w:tbl>
    <w:p>
      <w:pPr>
        <w:pStyle w:val="Heading1"/>
      </w:pPr>
      <w:r>
        <w:t>5. How the dynamic state is computed</w:t>
      </w:r>
    </w:p>
    <w:p>
      <w:r>
        <w:t>For affect-enabled conditions, the prototype first computes a target agent state from the current human appraisal, goal state, and task-derived state:</w:t>
      </w:r>
    </w:p>
    <w:p>
      <w:pPr>
        <w:ind w:left="360"/>
      </w:pPr>
      <w:r>
        <w:rPr>
          <w:rFonts w:ascii="Consolas" w:hAnsi="Consolas"/>
          <w:sz w:val="18"/>
        </w:rPr>
        <w:t>Motivational priority: a*_mot = clip01(0.60 h_rel + 0.40 stakes)</w:t>
      </w:r>
    </w:p>
    <w:p>
      <w:pPr>
        <w:ind w:left="360"/>
      </w:pPr>
      <w:r>
        <w:rPr>
          <w:rFonts w:ascii="Consolas" w:hAnsi="Consolas"/>
          <w:sz w:val="18"/>
        </w:rPr>
        <w:t>Decision-information priority: a*_info = clip01(0.45 h_unc + 0.30 d_amb + 0.25 stakes)</w:t>
      </w:r>
    </w:p>
    <w:p>
      <w:pPr>
        <w:ind w:left="360"/>
      </w:pPr>
      <w:r>
        <w:rPr>
          <w:rFonts w:ascii="Consolas" w:hAnsi="Consolas"/>
          <w:sz w:val="18"/>
        </w:rPr>
        <w:t>Intervention readiness: a*_intv = clip01(0.35 a*_mot + 0.30 a*_info + 0.20 d_goal + 0.15 h_int - 0.35 safety_risk)</w:t>
      </w:r>
    </w:p>
    <w:p>
      <w:r>
        <w:t>Persistence is then applied with a single parameter rho:  A_t = rho A_(t-1) + (1 - rho) A*_t. On the first affect-enabled turn, A_1 = A*_1. CURRENT_CUE fixes rho = 0, so it collapses to the current target state. DYNAMIC uses a non-zero rho, allowing earlier interaction state to influence later turns. TASK_FOCUSED skips A*_t and A_t entirely.</w:t>
      </w:r>
    </w:p>
    <w:p>
      <w:pPr>
        <w:pStyle w:val="Heading1"/>
      </w:pPr>
      <w:r>
        <w:t>6. Policy selection and response generation</w:t>
      </w:r>
    </w:p>
    <w:p>
      <w:r>
        <w:t>The policy engine maps the current state to one primary cooperative strategy (and at most one compatible secondary strategy). The main policy vocabulary is INFORM, ACKNOWLEDGE, CLARIFY, REDIRECT, and DEFER; CHALLENGE is treated as a realization mode within clarification rather than as an independently selected policy.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F2F2F2"/>
          </w:tcPr>
          <w:p>
            <w:pPr>
              <w:spacing w:after="0"/>
            </w:pPr>
            <w:r/>
            <w:r>
              <w:rPr>
                <w:rFonts w:ascii="Aptos" w:hAnsi="Aptos" w:eastAsia="Aptos"/>
                <w:b/>
                <w:sz w:val="18"/>
              </w:rPr>
              <w:t>Priority</w:t>
            </w:r>
          </w:p>
        </w:tc>
        <w:tc>
          <w:tcPr>
            <w:tcW w:type="dxa" w:w="3360"/>
            <w:vAlign w:val="center"/>
            <w:shd w:fill="F2F2F2"/>
          </w:tcPr>
          <w:p>
            <w:pPr>
              <w:spacing w:after="0"/>
            </w:pPr>
            <w:r/>
            <w:r>
              <w:rPr>
                <w:rFonts w:ascii="Aptos" w:hAnsi="Aptos" w:eastAsia="Aptos"/>
                <w:b/>
                <w:sz w:val="18"/>
              </w:rPr>
              <w:t>Typical trigger</w:t>
            </w:r>
          </w:p>
        </w:tc>
        <w:tc>
          <w:tcPr>
            <w:tcW w:type="dxa" w:w="3360"/>
            <w:vAlign w:val="center"/>
            <w:shd w:fill="F2F2F2"/>
          </w:tcPr>
          <w:p>
            <w:pPr>
              <w:spacing w:after="0"/>
            </w:pPr>
            <w:r/>
            <w:r>
              <w:rPr>
                <w:rFonts w:ascii="Aptos" w:hAnsi="Aptos" w:eastAsia="Aptos"/>
                <w:b/>
                <w:sz w:val="18"/>
              </w:rPr>
              <w:t>Result</w:t>
            </w:r>
          </w:p>
        </w:tc>
      </w:tr>
      <w:tr>
        <w:trPr>
          <w:cantSplit/>
        </w:trPr>
        <w:tc>
          <w:tcPr>
            <w:tcW w:type="dxa" w:w="3360"/>
            <w:vAlign w:val="center"/>
          </w:tcPr>
          <w:p>
            <w:pPr>
              <w:spacing w:after="0"/>
            </w:pPr>
            <w:r/>
            <w:r>
              <w:rPr>
                <w:rFonts w:ascii="Aptos" w:hAnsi="Aptos" w:eastAsia="Aptos"/>
                <w:b w:val="0"/>
                <w:sz w:val="17"/>
              </w:rPr>
              <w:t>1. Safety</w:t>
            </w:r>
          </w:p>
        </w:tc>
        <w:tc>
          <w:tcPr>
            <w:tcW w:type="dxa" w:w="3360"/>
            <w:vAlign w:val="center"/>
          </w:tcPr>
          <w:p>
            <w:pPr>
              <w:spacing w:after="0"/>
            </w:pPr>
            <w:r/>
            <w:r>
              <w:rPr>
                <w:rFonts w:ascii="Aptos" w:hAnsi="Aptos" w:eastAsia="Aptos"/>
                <w:b w:val="0"/>
                <w:sz w:val="17"/>
              </w:rPr>
              <w:t>safety_risk &gt;= 0.70</w:t>
            </w:r>
          </w:p>
        </w:tc>
        <w:tc>
          <w:tcPr>
            <w:tcW w:type="dxa" w:w="3360"/>
            <w:vAlign w:val="center"/>
          </w:tcPr>
          <w:p>
            <w:pPr>
              <w:spacing w:after="0"/>
            </w:pPr>
            <w:r/>
            <w:r>
              <w:rPr>
                <w:rFonts w:ascii="Aptos" w:hAnsi="Aptos" w:eastAsia="Aptos"/>
                <w:b w:val="0"/>
                <w:sz w:val="17"/>
              </w:rPr>
              <w:t>DEFER, with factual support or clarification where appropriate.</w:t>
            </w:r>
          </w:p>
        </w:tc>
      </w:tr>
      <w:tr>
        <w:trPr>
          <w:cantSplit/>
        </w:trPr>
        <w:tc>
          <w:tcPr>
            <w:tcW w:type="dxa" w:w="3360"/>
            <w:vAlign w:val="center"/>
          </w:tcPr>
          <w:p>
            <w:pPr>
              <w:spacing w:after="0"/>
            </w:pPr>
            <w:r/>
            <w:r>
              <w:rPr>
                <w:rFonts w:ascii="Aptos" w:hAnsi="Aptos" w:eastAsia="Aptos"/>
                <w:b w:val="0"/>
                <w:sz w:val="17"/>
              </w:rPr>
              <w:t>2. Low confidence</w:t>
            </w:r>
          </w:p>
        </w:tc>
        <w:tc>
          <w:tcPr>
            <w:tcW w:type="dxa" w:w="3360"/>
            <w:vAlign w:val="center"/>
          </w:tcPr>
          <w:p>
            <w:pPr>
              <w:spacing w:after="0"/>
            </w:pPr>
            <w:r/>
            <w:r>
              <w:rPr>
                <w:rFonts w:ascii="Aptos" w:hAnsi="Aptos" w:eastAsia="Aptos"/>
                <w:b w:val="0"/>
                <w:sz w:val="17"/>
              </w:rPr>
              <w:t>c_t &lt; 0.50</w:t>
            </w:r>
          </w:p>
        </w:tc>
        <w:tc>
          <w:tcPr>
            <w:tcW w:type="dxa" w:w="3360"/>
            <w:vAlign w:val="center"/>
          </w:tcPr>
          <w:p>
            <w:pPr>
              <w:spacing w:after="0"/>
            </w:pPr>
            <w:r/>
            <w:r>
              <w:rPr>
                <w:rFonts w:ascii="Aptos" w:hAnsi="Aptos" w:eastAsia="Aptos"/>
                <w:b w:val="0"/>
                <w:sz w:val="17"/>
              </w:rPr>
              <w:t>CLARIFY before making affective assertions.</w:t>
            </w:r>
          </w:p>
        </w:tc>
      </w:tr>
      <w:tr>
        <w:trPr>
          <w:cantSplit/>
        </w:trPr>
        <w:tc>
          <w:tcPr>
            <w:tcW w:type="dxa" w:w="3360"/>
            <w:vAlign w:val="center"/>
          </w:tcPr>
          <w:p>
            <w:pPr>
              <w:spacing w:after="0"/>
            </w:pPr>
            <w:r/>
            <w:r>
              <w:rPr>
                <w:rFonts w:ascii="Aptos" w:hAnsi="Aptos" w:eastAsia="Aptos"/>
                <w:b w:val="0"/>
                <w:sz w:val="17"/>
              </w:rPr>
              <w:t>3. Low control</w:t>
            </w:r>
          </w:p>
        </w:tc>
        <w:tc>
          <w:tcPr>
            <w:tcW w:type="dxa" w:w="3360"/>
            <w:vAlign w:val="center"/>
          </w:tcPr>
          <w:p>
            <w:pPr>
              <w:spacing w:after="0"/>
            </w:pPr>
            <w:r/>
            <w:r>
              <w:rPr>
                <w:rFonts w:ascii="Aptos" w:hAnsi="Aptos" w:eastAsia="Aptos"/>
                <w:b w:val="0"/>
                <w:sz w:val="17"/>
              </w:rPr>
              <w:t>perceived control &lt; 0.40</w:t>
            </w:r>
          </w:p>
        </w:tc>
        <w:tc>
          <w:tcPr>
            <w:tcW w:type="dxa" w:w="3360"/>
            <w:vAlign w:val="center"/>
          </w:tcPr>
          <w:p>
            <w:pPr>
              <w:spacing w:after="0"/>
            </w:pPr>
            <w:r/>
            <w:r>
              <w:rPr>
                <w:rFonts w:ascii="Aptos" w:hAnsi="Aptos" w:eastAsia="Aptos"/>
                <w:b w:val="0"/>
                <w:sz w:val="17"/>
              </w:rPr>
              <w:t>Constrain stronger intervention; favor clarification/information.</w:t>
            </w:r>
          </w:p>
        </w:tc>
      </w:tr>
      <w:tr>
        <w:trPr>
          <w:cantSplit/>
        </w:trPr>
        <w:tc>
          <w:tcPr>
            <w:tcW w:type="dxa" w:w="3360"/>
            <w:vAlign w:val="center"/>
          </w:tcPr>
          <w:p>
            <w:pPr>
              <w:spacing w:after="0"/>
            </w:pPr>
            <w:r/>
            <w:r>
              <w:rPr>
                <w:rFonts w:ascii="Aptos" w:hAnsi="Aptos" w:eastAsia="Aptos"/>
                <w:b w:val="0"/>
                <w:sz w:val="17"/>
              </w:rPr>
              <w:t>4. Redirect eligibility</w:t>
            </w:r>
          </w:p>
        </w:tc>
        <w:tc>
          <w:tcPr>
            <w:tcW w:type="dxa" w:w="3360"/>
            <w:vAlign w:val="center"/>
          </w:tcPr>
          <w:p>
            <w:pPr>
              <w:spacing w:after="0"/>
            </w:pPr>
            <w:r/>
            <w:r>
              <w:rPr>
                <w:rFonts w:ascii="Aptos" w:hAnsi="Aptos" w:eastAsia="Aptos"/>
                <w:b w:val="0"/>
                <w:sz w:val="17"/>
              </w:rPr>
              <w:t>high affect intensity + sufficient intervention/information state + adequate confidence</w:t>
            </w:r>
          </w:p>
        </w:tc>
        <w:tc>
          <w:tcPr>
            <w:tcW w:type="dxa" w:w="3360"/>
            <w:vAlign w:val="center"/>
          </w:tcPr>
          <w:p>
            <w:pPr>
              <w:spacing w:after="0"/>
            </w:pPr>
            <w:r/>
            <w:r>
              <w:rPr>
                <w:rFonts w:ascii="Aptos" w:hAnsi="Aptos" w:eastAsia="Aptos"/>
                <w:b w:val="0"/>
                <w:sz w:val="17"/>
              </w:rPr>
              <w:t>REDIRECT, optionally paired with acknowledgment/information.</w:t>
            </w:r>
          </w:p>
        </w:tc>
      </w:tr>
      <w:tr>
        <w:trPr>
          <w:cantSplit/>
        </w:trPr>
        <w:tc>
          <w:tcPr>
            <w:tcW w:type="dxa" w:w="3360"/>
            <w:vAlign w:val="center"/>
          </w:tcPr>
          <w:p>
            <w:pPr>
              <w:spacing w:after="0"/>
            </w:pPr>
            <w:r/>
            <w:r>
              <w:rPr>
                <w:rFonts w:ascii="Aptos" w:hAnsi="Aptos" w:eastAsia="Aptos"/>
                <w:b w:val="0"/>
                <w:sz w:val="17"/>
              </w:rPr>
              <w:t>5. Clarification need</w:t>
            </w:r>
          </w:p>
        </w:tc>
        <w:tc>
          <w:tcPr>
            <w:tcW w:type="dxa" w:w="3360"/>
            <w:vAlign w:val="center"/>
          </w:tcPr>
          <w:p>
            <w:pPr>
              <w:spacing w:after="0"/>
            </w:pPr>
            <w:r/>
            <w:r>
              <w:rPr>
                <w:rFonts w:ascii="Aptos" w:hAnsi="Aptos" w:eastAsia="Aptos"/>
                <w:b w:val="0"/>
                <w:sz w:val="17"/>
              </w:rPr>
              <w:t>high uncertainty, evidence ambiguity, or goal conflict</w:t>
            </w:r>
          </w:p>
        </w:tc>
        <w:tc>
          <w:tcPr>
            <w:tcW w:type="dxa" w:w="3360"/>
            <w:vAlign w:val="center"/>
          </w:tcPr>
          <w:p>
            <w:pPr>
              <w:spacing w:after="0"/>
            </w:pPr>
            <w:r/>
            <w:r>
              <w:rPr>
                <w:rFonts w:ascii="Aptos" w:hAnsi="Aptos" w:eastAsia="Aptos"/>
                <w:b w:val="0"/>
                <w:sz w:val="17"/>
              </w:rPr>
              <w:t>CLARIFY.</w:t>
            </w:r>
          </w:p>
        </w:tc>
      </w:tr>
      <w:tr>
        <w:trPr>
          <w:cantSplit/>
        </w:trPr>
        <w:tc>
          <w:tcPr>
            <w:tcW w:type="dxa" w:w="3360"/>
            <w:vAlign w:val="center"/>
          </w:tcPr>
          <w:p>
            <w:pPr>
              <w:spacing w:after="0"/>
            </w:pPr>
            <w:r/>
            <w:r>
              <w:rPr>
                <w:rFonts w:ascii="Aptos" w:hAnsi="Aptos" w:eastAsia="Aptos"/>
                <w:b w:val="0"/>
                <w:sz w:val="17"/>
              </w:rPr>
              <w:t>6. Information / acknowledgment</w:t>
            </w:r>
          </w:p>
        </w:tc>
        <w:tc>
          <w:tcPr>
            <w:tcW w:type="dxa" w:w="3360"/>
            <w:vAlign w:val="center"/>
          </w:tcPr>
          <w:p>
            <w:pPr>
              <w:spacing w:after="0"/>
            </w:pPr>
            <w:r/>
            <w:r>
              <w:rPr>
                <w:rFonts w:ascii="Aptos" w:hAnsi="Aptos" w:eastAsia="Aptos"/>
                <w:b w:val="0"/>
                <w:sz w:val="17"/>
              </w:rPr>
              <w:t>information need or sufficiently supported engagement/affect</w:t>
            </w:r>
          </w:p>
        </w:tc>
        <w:tc>
          <w:tcPr>
            <w:tcW w:type="dxa" w:w="3360"/>
            <w:vAlign w:val="center"/>
          </w:tcPr>
          <w:p>
            <w:pPr>
              <w:spacing w:after="0"/>
            </w:pPr>
            <w:r/>
            <w:r>
              <w:rPr>
                <w:rFonts w:ascii="Aptos" w:hAnsi="Aptos" w:eastAsia="Aptos"/>
                <w:b w:val="0"/>
                <w:sz w:val="17"/>
              </w:rPr>
              <w:t>INFORM or ACKNOWLEDGE.</w:t>
            </w:r>
          </w:p>
        </w:tc>
      </w:tr>
      <w:tr>
        <w:trPr>
          <w:cantSplit/>
        </w:trPr>
        <w:tc>
          <w:tcPr>
            <w:tcW w:type="dxa" w:w="3360"/>
            <w:vAlign w:val="center"/>
          </w:tcPr>
          <w:p>
            <w:pPr>
              <w:spacing w:after="0"/>
            </w:pPr>
            <w:r/>
            <w:r>
              <w:rPr>
                <w:rFonts w:ascii="Aptos" w:hAnsi="Aptos" w:eastAsia="Aptos"/>
                <w:b w:val="0"/>
                <w:sz w:val="17"/>
              </w:rPr>
              <w:t>7. Default</w:t>
            </w:r>
          </w:p>
        </w:tc>
        <w:tc>
          <w:tcPr>
            <w:tcW w:type="dxa" w:w="3360"/>
            <w:vAlign w:val="center"/>
          </w:tcPr>
          <w:p>
            <w:pPr>
              <w:spacing w:after="0"/>
            </w:pPr>
            <w:r/>
            <w:r>
              <w:rPr>
                <w:rFonts w:ascii="Aptos" w:hAnsi="Aptos" w:eastAsia="Aptos"/>
                <w:b w:val="0"/>
                <w:sz w:val="17"/>
              </w:rPr>
              <w:t>none of the above</w:t>
            </w:r>
          </w:p>
        </w:tc>
        <w:tc>
          <w:tcPr>
            <w:tcW w:type="dxa" w:w="3360"/>
            <w:vAlign w:val="center"/>
          </w:tcPr>
          <w:p>
            <w:pPr>
              <w:spacing w:after="0"/>
            </w:pPr>
            <w:r/>
            <w:r>
              <w:rPr>
                <w:rFonts w:ascii="Aptos" w:hAnsi="Aptos" w:eastAsia="Aptos"/>
                <w:b w:val="0"/>
                <w:sz w:val="17"/>
              </w:rPr>
              <w:t>INFORM.</w:t>
            </w:r>
          </w:p>
        </w:tc>
      </w:tr>
    </w:tbl>
    <w:p>
      <w:r>
        <w:t>A key causal-isolation rule is enforced at generation time: the response generator does not receive raw numeric A_t values. It receives the selected policy, task/goal context, shared history, and hard constraints. Only when the persistent state actually changes the selected policy may a short qualitative state cue be passed to generation. Thus the intended path is A_t -&gt; P_t -&gt; R_t, rather than A_t directly shaping free-form wording.</w:t>
      </w:r>
    </w:p>
    <w:p>
      <w:pPr>
        <w:pStyle w:val="Heading1"/>
      </w:pPr>
      <w:r>
        <w:t>7. One interaction turn</w:t>
      </w:r>
    </w:p>
    <w:p>
      <w:pPr>
        <w:pStyle w:val="ListNumber"/>
        <w:spacing w:after="40"/>
      </w:pPr>
      <w:r>
        <w:t>Build O_t from the current user input, task context, and a snapshot of the history before this turn.</w:t>
      </w:r>
    </w:p>
    <w:p>
      <w:pPr>
        <w:pStyle w:val="ListNumber"/>
        <w:spacing w:after="40"/>
      </w:pPr>
      <w:r>
        <w:t>Read or explicitly update G_t. Human-state estimation is not allowed to rewrite goals.</w:t>
      </w:r>
    </w:p>
    <w:p>
      <w:pPr>
        <w:pStyle w:val="ListNumber"/>
        <w:spacing w:after="40"/>
      </w:pPr>
      <w:r>
        <w:t>Estimate H_t and evidence strength; map evidence strength deterministically to confidence c_t.</w:t>
      </w:r>
    </w:p>
    <w:p>
      <w:pPr>
        <w:pStyle w:val="ListNumber"/>
        <w:spacing w:after="40"/>
      </w:pPr>
      <w:r>
        <w:t>Derive D_t (goal conflict and evidence ambiguity) from task structure.</w:t>
      </w:r>
    </w:p>
    <w:p>
      <w:pPr>
        <w:pStyle w:val="ListNumber"/>
        <w:spacing w:after="40"/>
      </w:pPr>
      <w:r>
        <w:t>For CURRENT_CUE/DYNAMIC, compute A*_t; then apply rho to obtain A_t. TASK_FOCUSED skips this stage.</w:t>
      </w:r>
    </w:p>
    <w:p>
      <w:pPr>
        <w:pStyle w:val="ListNumber"/>
        <w:spacing w:after="40"/>
      </w:pPr>
      <w:r>
        <w:t>Select P_t with the condition-appropriate rule table and hard constraints.</w:t>
      </w:r>
    </w:p>
    <w:p>
      <w:pPr>
        <w:pStyle w:val="ListNumber"/>
        <w:spacing w:after="40"/>
      </w:pPr>
      <w:r>
        <w:t>Generate R_t from the policy contract; raw numeric agent-state values are not exposed to the generator.</w:t>
      </w:r>
    </w:p>
    <w:p>
      <w:pPr>
        <w:pStyle w:val="ListNumber"/>
        <w:spacing w:after="40"/>
      </w:pPr>
      <w:r>
        <w:t>Persist a complete TurnRecord and render the researcher dashboard.</w:t>
      </w:r>
    </w:p>
    <w:p>
      <w:pPr>
        <w:pStyle w:val="ListNumber"/>
        <w:spacing w:after="40"/>
      </w:pPr>
      <w:r>
        <w:t>Commit the shared observation to history only after all compared conditions have processed the same pre-turn snapshot.</w:t>
      </w:r>
    </w:p>
    <w:p>
      <w:pPr>
        <w:pStyle w:val="Heading1"/>
      </w:pPr>
      <w:r>
        <w:t>8. Fair comparison, replay, and auditability</w:t>
      </w:r>
    </w:p>
    <w:p>
      <w:pPr>
        <w:pStyle w:val="ListBullet"/>
        <w:spacing w:after="40"/>
      </w:pPr>
      <w:r>
        <w:t>compare() evaluates multiple conditions from one shared observation, one pre-turn history snapshot, and the same H_t / c_t / D_t values. This prevents the conditions from drifting because of separately estimated inputs.</w:t>
      </w:r>
    </w:p>
    <w:p>
      <w:pPr>
        <w:pStyle w:val="ListBullet"/>
        <w:spacing w:after="40"/>
      </w:pPr>
      <w:r>
        <w:t>Condition-specific A_t is stored separately, so DYNAMIC never inherits CURRENT_CUE state and vice versa.</w:t>
      </w:r>
    </w:p>
    <w:p>
      <w:pPr>
        <w:pStyle w:val="ListBullet"/>
        <w:spacing w:after="40"/>
      </w:pPr>
      <w:r>
        <w:t>TASK_FOCUSED never computes or stores A*_t / A_t, even when it is included in a multi-condition comparison.</w:t>
      </w:r>
    </w:p>
    <w:p>
      <w:pPr>
        <w:pStyle w:val="ListBullet"/>
        <w:spacing w:after="40"/>
      </w:pPr>
      <w:r>
        <w:t>Replay creates a new record without advancing the original run history or persistent agent state.</w:t>
      </w:r>
    </w:p>
    <w:p>
      <w:pPr>
        <w:pStyle w:val="ListBullet"/>
        <w:spacing w:after="40"/>
      </w:pPr>
      <w:r>
        <w:t>Each turn is logged with condition, model/config identity, appraisal, goal/task state, agent state where applicable, selected policy, response, statuses, and intervention metadata.</w:t>
      </w:r>
    </w:p>
    <w:p>
      <w:pPr>
        <w:pStyle w:val="ListBullet"/>
        <w:spacing w:after="40"/>
      </w:pPr>
      <w:r>
        <w:t>The runtime configuration is hashable, supporting exact reconstruction of the thresholds and condition settings used for a run.</w:t>
      </w:r>
    </w:p>
    <w:p>
      <w:pPr>
        <w:pStyle w:val="Heading1"/>
      </w:pPr>
      <w:r>
        <w:t>9. What the panel can inspect in the prototype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E8EEF7"/>
          </w:tcPr>
          <w:p>
            <w:pPr>
              <w:spacing w:after="0"/>
            </w:pPr>
            <w:r/>
            <w:r>
              <w:rPr>
                <w:rFonts w:ascii="Aptos" w:hAnsi="Aptos" w:eastAsia="Aptos"/>
                <w:b/>
                <w:sz w:val="18"/>
              </w:rPr>
              <w:t>Prototype view</w:t>
            </w:r>
          </w:p>
        </w:tc>
        <w:tc>
          <w:tcPr>
            <w:tcW w:type="dxa" w:w="5040"/>
            <w:vAlign w:val="center"/>
            <w:shd w:fill="E8EEF7"/>
          </w:tcPr>
          <w:p>
            <w:pPr>
              <w:spacing w:after="0"/>
            </w:pPr>
            <w:r/>
            <w:r>
              <w:rPr>
                <w:rFonts w:ascii="Aptos" w:hAnsi="Aptos" w:eastAsia="Aptos"/>
                <w:b/>
                <w:sz w:val="18"/>
              </w:rPr>
              <w:t>What it exposes</w:t>
            </w:r>
          </w:p>
        </w:tc>
      </w:tr>
      <w:tr>
        <w:trPr>
          <w:cantSplit/>
        </w:trPr>
        <w:tc>
          <w:tcPr>
            <w:tcW w:type="dxa" w:w="5040"/>
            <w:vAlign w:val="center"/>
          </w:tcPr>
          <w:p>
            <w:pPr>
              <w:spacing w:after="0"/>
            </w:pPr>
            <w:r/>
            <w:r>
              <w:rPr>
                <w:rFonts w:ascii="Aptos" w:hAnsi="Aptos" w:eastAsia="Aptos"/>
                <w:b w:val="0"/>
                <w:sz w:val="17"/>
              </w:rPr>
              <w:t>Interaction view</w:t>
            </w:r>
          </w:p>
        </w:tc>
        <w:tc>
          <w:tcPr>
            <w:tcW w:type="dxa" w:w="5040"/>
            <w:vAlign w:val="center"/>
          </w:tcPr>
          <w:p>
            <w:pPr>
              <w:spacing w:after="0"/>
            </w:pPr>
            <w:r/>
            <w:r>
              <w:rPr>
                <w:rFonts w:ascii="Aptos" w:hAnsi="Aptos" w:eastAsia="Aptos"/>
                <w:b w:val="0"/>
                <w:sz w:val="17"/>
              </w:rPr>
              <w:t>Task/context, dialogue, participant input, and generated agent response.</w:t>
            </w:r>
          </w:p>
        </w:tc>
      </w:tr>
      <w:tr>
        <w:trPr>
          <w:cantSplit/>
        </w:trPr>
        <w:tc>
          <w:tcPr>
            <w:tcW w:type="dxa" w:w="5040"/>
            <w:vAlign w:val="center"/>
          </w:tcPr>
          <w:p>
            <w:pPr>
              <w:spacing w:after="0"/>
            </w:pPr>
            <w:r/>
            <w:r>
              <w:rPr>
                <w:rFonts w:ascii="Aptos" w:hAnsi="Aptos" w:eastAsia="Aptos"/>
                <w:b w:val="0"/>
                <w:sz w:val="17"/>
              </w:rPr>
              <w:t>Human / goal panel</w:t>
            </w:r>
          </w:p>
        </w:tc>
        <w:tc>
          <w:tcPr>
            <w:tcW w:type="dxa" w:w="5040"/>
            <w:vAlign w:val="center"/>
          </w:tcPr>
          <w:p>
            <w:pPr>
              <w:spacing w:after="0"/>
            </w:pPr>
            <w:r/>
            <w:r>
              <w:rPr>
                <w:rFonts w:ascii="Aptos" w:hAnsi="Aptos" w:eastAsia="Aptos"/>
                <w:b w:val="0"/>
                <w:sz w:val="17"/>
              </w:rPr>
              <w:t>Appraisal dimensions, evidence strength/confidence, objective, values, stakes, autonomy, safety, and goal version.</w:t>
            </w:r>
          </w:p>
        </w:tc>
      </w:tr>
      <w:tr>
        <w:trPr>
          <w:cantSplit/>
        </w:trPr>
        <w:tc>
          <w:tcPr>
            <w:tcW w:type="dxa" w:w="5040"/>
            <w:vAlign w:val="center"/>
          </w:tcPr>
          <w:p>
            <w:pPr>
              <w:spacing w:after="0"/>
            </w:pPr>
            <w:r/>
            <w:r>
              <w:rPr>
                <w:rFonts w:ascii="Aptos" w:hAnsi="Aptos" w:eastAsia="Aptos"/>
                <w:b w:val="0"/>
                <w:sz w:val="17"/>
              </w:rPr>
              <w:t>Agent-state panel</w:t>
            </w:r>
          </w:p>
        </w:tc>
        <w:tc>
          <w:tcPr>
            <w:tcW w:type="dxa" w:w="5040"/>
            <w:vAlign w:val="center"/>
          </w:tcPr>
          <w:p>
            <w:pPr>
              <w:spacing w:after="0"/>
            </w:pPr>
            <w:r/>
            <w:r>
              <w:rPr>
                <w:rFonts w:ascii="Aptos" w:hAnsi="Aptos" w:eastAsia="Aptos"/>
                <w:b w:val="0"/>
                <w:sz w:val="17"/>
              </w:rPr>
              <w:t>A*_t, A_t, changes across turns, and rho for affect-enabled conditions.</w:t>
            </w:r>
          </w:p>
        </w:tc>
      </w:tr>
      <w:tr>
        <w:trPr>
          <w:cantSplit/>
        </w:trPr>
        <w:tc>
          <w:tcPr>
            <w:tcW w:type="dxa" w:w="5040"/>
            <w:vAlign w:val="center"/>
          </w:tcPr>
          <w:p>
            <w:pPr>
              <w:spacing w:after="0"/>
            </w:pPr>
            <w:r/>
            <w:r>
              <w:rPr>
                <w:rFonts w:ascii="Aptos" w:hAnsi="Aptos" w:eastAsia="Aptos"/>
                <w:b w:val="0"/>
                <w:sz w:val="17"/>
              </w:rPr>
              <w:t>Policy panel</w:t>
            </w:r>
          </w:p>
        </w:tc>
        <w:tc>
          <w:tcPr>
            <w:tcW w:type="dxa" w:w="5040"/>
            <w:vAlign w:val="center"/>
          </w:tcPr>
          <w:p>
            <w:pPr>
              <w:spacing w:after="0"/>
            </w:pPr>
            <w:r/>
            <w:r>
              <w:rPr>
                <w:rFonts w:ascii="Aptos" w:hAnsi="Aptos" w:eastAsia="Aptos"/>
                <w:b w:val="0"/>
                <w:sz w:val="17"/>
              </w:rPr>
              <w:t>Primary/secondary policy, triggered rationale, hard constraints, and whether persistent state could/did change the policy.</w:t>
            </w:r>
          </w:p>
        </w:tc>
      </w:tr>
      <w:tr>
        <w:trPr>
          <w:cantSplit/>
        </w:trPr>
        <w:tc>
          <w:tcPr>
            <w:tcW w:type="dxa" w:w="5040"/>
            <w:vAlign w:val="center"/>
          </w:tcPr>
          <w:p>
            <w:pPr>
              <w:spacing w:after="0"/>
            </w:pPr>
            <w:r/>
            <w:r>
              <w:rPr>
                <w:rFonts w:ascii="Aptos" w:hAnsi="Aptos" w:eastAsia="Aptos"/>
                <w:b w:val="0"/>
                <w:sz w:val="17"/>
              </w:rPr>
              <w:t>Experiment controls</w:t>
            </w:r>
          </w:p>
        </w:tc>
        <w:tc>
          <w:tcPr>
            <w:tcW w:type="dxa" w:w="5040"/>
            <w:vAlign w:val="center"/>
          </w:tcPr>
          <w:p>
            <w:pPr>
              <w:spacing w:after="0"/>
            </w:pPr>
            <w:r/>
            <w:r>
              <w:rPr>
                <w:rFonts w:ascii="Aptos" w:hAnsi="Aptos" w:eastAsia="Aptos"/>
                <w:b w:val="0"/>
                <w:sz w:val="17"/>
              </w:rPr>
              <w:t>Condition selection, DYNAMIC rho override for explicit ablation, compare, replay, and reset/new-run controls.</w:t>
            </w:r>
          </w:p>
        </w:tc>
      </w:tr>
      <w:tr>
        <w:trPr>
          <w:cantSplit/>
        </w:trPr>
        <w:tc>
          <w:tcPr>
            <w:tcW w:type="dxa" w:w="5040"/>
            <w:vAlign w:val="center"/>
          </w:tcPr>
          <w:p>
            <w:pPr>
              <w:spacing w:after="0"/>
            </w:pPr>
            <w:r/>
            <w:r>
              <w:rPr>
                <w:rFonts w:ascii="Aptos" w:hAnsi="Aptos" w:eastAsia="Aptos"/>
                <w:b w:val="0"/>
                <w:sz w:val="17"/>
              </w:rPr>
              <w:t>Trajectory / status</w:t>
            </w:r>
          </w:p>
        </w:tc>
        <w:tc>
          <w:tcPr>
            <w:tcW w:type="dxa" w:w="5040"/>
            <w:vAlign w:val="center"/>
          </w:tcPr>
          <w:p>
            <w:pPr>
              <w:spacing w:after="0"/>
            </w:pPr>
            <w:r/>
            <w:r>
              <w:rPr>
                <w:rFonts w:ascii="Aptos" w:hAnsi="Aptos" w:eastAsia="Aptos"/>
                <w:b w:val="0"/>
                <w:sz w:val="17"/>
              </w:rPr>
              <w:t>Turn-by-turn state trends plus estimator/generator status, latency, and configuration identity.</w:t>
            </w:r>
          </w:p>
        </w:tc>
      </w:tr>
    </w:tbl>
    <w:p>
      <w:pPr>
        <w:pStyle w:val="Heading1"/>
      </w:pPr>
      <w:r>
        <w:t>10. Implementation footprint</w:t>
      </w:r>
    </w:p>
    <w:p>
      <w:r>
        <w:t>The prototype uses Python 3.11+, Pydantic models for bounded runtime validation, Streamlit for the interactive research interface, a provider-agnostic LLM adapter, YAML-based configuration, JSONL logging (with optional SQLite), and pytest for automated checks.</w:t>
      </w:r>
    </w:p>
    <w:p>
      <w:r>
        <w:t>The repository is organized around a small set of concerns rather than a monolithic agent: configuration, state models, appraisal/transition/policy services, the LLM adapter and fallback generation, the Streamlit UI, tests, demo fixtures, and logs. For panel review, the most informative entry points are the main app, configuration files, transition/policy logic, pipeline/compare flow, researcher dashboard, and representative tests.</w:t>
      </w:r>
    </w:p>
    <w:p>
      <w:pPr>
        <w:pStyle w:val="Heading1"/>
      </w:pPr>
      <w:r>
        <w:t>11. Verification focus</w:t>
      </w:r>
    </w:p>
    <w:p>
      <w:r>
        <w:t>The test suite is intended to verify the experimental contract rather than only code coverage. It checks bounded schemas and confidence mapping; goal-conflict/evidence-ambiguity derivation; first-turn and persistent-state behavior; policy priority and safety gating; TASK_FOCUSED isolation; generator isolation from numeric A_t; identical history across conditions; replay non-mutation; reset behavior; fallback behavior; and reproducibility of the frozen demo fixture.</w:t>
      </w:r>
    </w:p>
    <w:p>
      <w:pPr>
        <w:pStyle w:val="Heading1"/>
      </w:pPr>
      <w:r>
        <w:t>12. Design boundaries</w:t>
      </w:r>
    </w:p>
    <w:p>
      <w:pPr>
        <w:pStyle w:val="ListBullet"/>
        <w:spacing w:after="40"/>
      </w:pPr>
      <w:r>
        <w:t>The implementation does not add extra causal weights simply to make DYNAMIC appear more different.</w:t>
      </w:r>
    </w:p>
    <w:p>
      <w:pPr>
        <w:pStyle w:val="ListBullet"/>
        <w:spacing w:after="40"/>
      </w:pPr>
      <w:r>
        <w:t>Affective cues cannot alter G_t by themselves.</w:t>
      </w:r>
    </w:p>
    <w:p>
      <w:pPr>
        <w:pStyle w:val="ListBullet"/>
        <w:spacing w:after="40"/>
      </w:pPr>
      <w:r>
        <w:t>The generator never receives raw numeric A_t.</w:t>
      </w:r>
    </w:p>
    <w:p>
      <w:pPr>
        <w:pStyle w:val="ListBullet"/>
        <w:spacing w:after="40"/>
      </w:pPr>
      <w:r>
        <w:t>Safety and autonomy constraints remain hard constraints across conditions.</w:t>
      </w:r>
    </w:p>
    <w:p>
      <w:pPr>
        <w:pStyle w:val="ListBullet"/>
        <w:spacing w:after="40"/>
      </w:pPr>
      <w:r>
        <w:t>Changes to the meaning of H_t, G_t, D_t, A_t, P_t, or to same-history comparison logic are treated as specification changes, not ad-hoc coding decisions.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Dynamic Affective Cooperation - Prototype Implementation Overview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eastAsia="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