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47FF2C" w14:textId="57E93FC3" w:rsidR="00573BE6" w:rsidRDefault="00CA6436">
      <w:pPr>
        <w:rPr>
          <w:rFonts w:ascii="Arial" w:hAnsi="Arial" w:cs="Arial"/>
          <w:sz w:val="28"/>
          <w:szCs w:val="28"/>
        </w:rPr>
      </w:pPr>
      <w:r w:rsidRPr="00CA6436">
        <w:rPr>
          <w:rFonts w:ascii="Arial" w:hAnsi="Arial" w:cs="Arial"/>
          <w:b/>
          <w:bCs/>
          <w:sz w:val="28"/>
          <w:szCs w:val="28"/>
        </w:rPr>
        <w:t>Results</w:t>
      </w:r>
    </w:p>
    <w:p w14:paraId="3F46E33D" w14:textId="478E5FCF" w:rsidR="00CA6436" w:rsidRPr="00451204" w:rsidRDefault="00593004" w:rsidP="00DF4329">
      <w:pPr>
        <w:jc w:val="center"/>
        <w:rPr>
          <w:rFonts w:ascii="Arial" w:hAnsi="Arial" w:cs="Arial"/>
          <w:i/>
          <w:iCs/>
          <w:sz w:val="28"/>
          <w:szCs w:val="28"/>
        </w:rPr>
      </w:pPr>
      <w:r w:rsidRPr="00451204">
        <w:rPr>
          <w:rFonts w:ascii="Arial" w:hAnsi="Arial" w:cs="Arial"/>
          <w:i/>
          <w:iCs/>
          <w:sz w:val="28"/>
          <w:szCs w:val="28"/>
        </w:rPr>
        <w:t>Model Accuracy and the reliability of associations between early-life adversity and subcortical brain volume</w:t>
      </w:r>
      <w:r w:rsidR="00451204" w:rsidRPr="00451204">
        <w:rPr>
          <w:rFonts w:ascii="Arial" w:hAnsi="Arial" w:cs="Arial"/>
          <w:i/>
          <w:iCs/>
          <w:sz w:val="28"/>
          <w:szCs w:val="28"/>
        </w:rPr>
        <w:t>.</w:t>
      </w:r>
    </w:p>
    <w:p w14:paraId="49411368" w14:textId="1295C7A6" w:rsidR="00CA6436" w:rsidRDefault="00CA6436" w:rsidP="00CA6436">
      <w:pPr>
        <w:ind w:firstLine="720"/>
        <w:rPr>
          <w:rFonts w:ascii="Arial" w:hAnsi="Arial" w:cs="Arial"/>
          <w:sz w:val="28"/>
          <w:szCs w:val="28"/>
        </w:rPr>
      </w:pPr>
      <w:r>
        <w:rPr>
          <w:rFonts w:ascii="Arial" w:hAnsi="Arial" w:cs="Arial"/>
          <w:sz w:val="28"/>
          <w:szCs w:val="28"/>
        </w:rPr>
        <w:t xml:space="preserve">We built </w:t>
      </w:r>
      <w:r w:rsidR="001D758F">
        <w:rPr>
          <w:rFonts w:ascii="Arial" w:hAnsi="Arial" w:cs="Arial"/>
          <w:sz w:val="28"/>
          <w:szCs w:val="28"/>
        </w:rPr>
        <w:t>6</w:t>
      </w:r>
      <w:r w:rsidR="00DF4329">
        <w:rPr>
          <w:rFonts w:ascii="Arial" w:hAnsi="Arial" w:cs="Arial"/>
          <w:sz w:val="28"/>
          <w:szCs w:val="28"/>
        </w:rPr>
        <w:t xml:space="preserve"> ensemble</w:t>
      </w:r>
      <w:r w:rsidR="001D758F">
        <w:rPr>
          <w:rFonts w:ascii="Arial" w:hAnsi="Arial" w:cs="Arial"/>
          <w:sz w:val="28"/>
          <w:szCs w:val="28"/>
        </w:rPr>
        <w:t xml:space="preserve"> models</w:t>
      </w:r>
      <w:r>
        <w:rPr>
          <w:rFonts w:ascii="Arial" w:hAnsi="Arial" w:cs="Arial"/>
          <w:sz w:val="28"/>
          <w:szCs w:val="28"/>
        </w:rPr>
        <w:t xml:space="preserve"> to predict group labels (probability of having experienced early-life adversity) from subcortical grey matter volume: 2 model types (gradient boosted machines (GBM) and logistic regression (GLM)) and 3 preprocessing pipelines (no covariate </w:t>
      </w:r>
      <w:r w:rsidR="00301172">
        <w:rPr>
          <w:rFonts w:ascii="Arial" w:hAnsi="Arial" w:cs="Arial"/>
          <w:sz w:val="28"/>
          <w:szCs w:val="28"/>
        </w:rPr>
        <w:t>adjustment</w:t>
      </w:r>
      <w:r>
        <w:rPr>
          <w:rFonts w:ascii="Arial" w:hAnsi="Arial" w:cs="Arial"/>
          <w:sz w:val="28"/>
          <w:szCs w:val="28"/>
        </w:rPr>
        <w:t xml:space="preserve">, adjustment for age and sex, and adjustment for age, sex, and cranial volume) for a total of </w:t>
      </w:r>
      <w:r w:rsidR="001D758F">
        <w:rPr>
          <w:rFonts w:ascii="Arial" w:hAnsi="Arial" w:cs="Arial"/>
          <w:sz w:val="28"/>
          <w:szCs w:val="28"/>
        </w:rPr>
        <w:t>100</w:t>
      </w:r>
      <w:r>
        <w:rPr>
          <w:rFonts w:ascii="Arial" w:hAnsi="Arial" w:cs="Arial"/>
          <w:sz w:val="28"/>
          <w:szCs w:val="28"/>
        </w:rPr>
        <w:t xml:space="preserve"> models</w:t>
      </w:r>
      <w:r w:rsidR="001D758F">
        <w:rPr>
          <w:rFonts w:ascii="Arial" w:hAnsi="Arial" w:cs="Arial"/>
          <w:sz w:val="28"/>
          <w:szCs w:val="28"/>
        </w:rPr>
        <w:t xml:space="preserve"> of each kind and 600 models overall</w:t>
      </w:r>
      <w:r>
        <w:rPr>
          <w:rFonts w:ascii="Arial" w:hAnsi="Arial" w:cs="Arial"/>
          <w:sz w:val="28"/>
          <w:szCs w:val="28"/>
        </w:rPr>
        <w:t>.</w:t>
      </w:r>
      <w:r w:rsidR="001D758F">
        <w:rPr>
          <w:rFonts w:ascii="Arial" w:hAnsi="Arial" w:cs="Arial"/>
          <w:sz w:val="28"/>
          <w:szCs w:val="28"/>
        </w:rPr>
        <w:t xml:space="preserve"> Final results are derived by averaging the predicted values for each subject in the validation </w:t>
      </w:r>
      <w:proofErr w:type="gramStart"/>
      <w:r w:rsidR="001D758F">
        <w:rPr>
          <w:rFonts w:ascii="Arial" w:hAnsi="Arial" w:cs="Arial"/>
          <w:sz w:val="28"/>
          <w:szCs w:val="28"/>
        </w:rPr>
        <w:t>population, and</w:t>
      </w:r>
      <w:proofErr w:type="gramEnd"/>
      <w:r w:rsidR="001D758F">
        <w:rPr>
          <w:rFonts w:ascii="Arial" w:hAnsi="Arial" w:cs="Arial"/>
          <w:sz w:val="28"/>
          <w:szCs w:val="28"/>
        </w:rPr>
        <w:t xml:space="preserve"> calculating model performance one time for each pipeline x model-type (6 final prediction accuracies).</w:t>
      </w:r>
    </w:p>
    <w:p w14:paraId="1833C4B5" w14:textId="4DF69911" w:rsidR="00CA6436" w:rsidRDefault="00CA6436" w:rsidP="00CA6436">
      <w:pPr>
        <w:ind w:firstLine="720"/>
        <w:rPr>
          <w:rFonts w:ascii="Arial" w:hAnsi="Arial" w:cs="Arial"/>
          <w:sz w:val="28"/>
          <w:szCs w:val="28"/>
        </w:rPr>
      </w:pPr>
      <w:r>
        <w:rPr>
          <w:rFonts w:ascii="Arial" w:hAnsi="Arial" w:cs="Arial"/>
          <w:noProof/>
          <w:sz w:val="28"/>
          <w:szCs w:val="28"/>
        </w:rPr>
        <w:drawing>
          <wp:anchor distT="0" distB="0" distL="114300" distR="114300" simplePos="0" relativeHeight="251658240" behindDoc="0" locked="0" layoutInCell="1" allowOverlap="1" wp14:anchorId="22F785EE" wp14:editId="667913B9">
            <wp:simplePos x="0" y="0"/>
            <wp:positionH relativeFrom="column">
              <wp:posOffset>-317500</wp:posOffset>
            </wp:positionH>
            <wp:positionV relativeFrom="paragraph">
              <wp:posOffset>1038860</wp:posOffset>
            </wp:positionV>
            <wp:extent cx="7569200" cy="5504180"/>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7569200" cy="55041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8"/>
          <w:szCs w:val="28"/>
        </w:rPr>
        <w:t xml:space="preserve">5 of the 6 models predicting group labels from brain volume were significantly more accurate than chance (highest ROC-AUC is .76, lowest </w:t>
      </w:r>
      <w:r>
        <w:rPr>
          <w:rFonts w:ascii="Arial" w:hAnsi="Arial" w:cs="Arial"/>
          <w:b/>
          <w:bCs/>
          <w:sz w:val="28"/>
          <w:szCs w:val="28"/>
        </w:rPr>
        <w:t>significant</w:t>
      </w:r>
      <w:r>
        <w:rPr>
          <w:rFonts w:ascii="Arial" w:hAnsi="Arial" w:cs="Arial"/>
          <w:sz w:val="28"/>
          <w:szCs w:val="28"/>
        </w:rPr>
        <w:t xml:space="preserve"> is .66), while the only non-significant model is the GBM model using the age, sex, and cranial volume</w:t>
      </w:r>
      <w:r w:rsidR="00301172">
        <w:rPr>
          <w:rFonts w:ascii="Arial" w:hAnsi="Arial" w:cs="Arial"/>
          <w:sz w:val="28"/>
          <w:szCs w:val="28"/>
        </w:rPr>
        <w:t xml:space="preserve"> adjustment preprocessing pipeline, ROC-AUC: .61 (</w:t>
      </w:r>
      <w:proofErr w:type="spellStart"/>
      <w:r w:rsidR="00301172">
        <w:rPr>
          <w:rFonts w:ascii="Arial" w:hAnsi="Arial" w:cs="Arial"/>
          <w:sz w:val="28"/>
          <w:szCs w:val="28"/>
        </w:rPr>
        <w:t>n.s</w:t>
      </w:r>
      <w:proofErr w:type="spellEnd"/>
      <w:r w:rsidR="00301172">
        <w:rPr>
          <w:rFonts w:ascii="Arial" w:hAnsi="Arial" w:cs="Arial"/>
          <w:sz w:val="28"/>
          <w:szCs w:val="28"/>
        </w:rPr>
        <w:t>.)</w:t>
      </w:r>
      <w:r>
        <w:rPr>
          <w:rFonts w:ascii="Arial" w:hAnsi="Arial" w:cs="Arial"/>
          <w:sz w:val="28"/>
          <w:szCs w:val="28"/>
        </w:rPr>
        <w:t xml:space="preserve">. </w:t>
      </w:r>
    </w:p>
    <w:p w14:paraId="085AFA7E" w14:textId="25487B08" w:rsidR="00301172" w:rsidRDefault="00301172" w:rsidP="00CA6436">
      <w:pPr>
        <w:ind w:firstLine="720"/>
        <w:rPr>
          <w:rFonts w:ascii="Arial" w:hAnsi="Arial" w:cs="Arial"/>
          <w:sz w:val="28"/>
          <w:szCs w:val="28"/>
        </w:rPr>
      </w:pPr>
    </w:p>
    <w:p w14:paraId="68A4B1C7" w14:textId="2584CFC1" w:rsidR="00301172" w:rsidRDefault="00301172" w:rsidP="00CA6436">
      <w:pPr>
        <w:ind w:firstLine="720"/>
        <w:rPr>
          <w:rFonts w:ascii="Arial" w:hAnsi="Arial" w:cs="Arial"/>
          <w:sz w:val="28"/>
          <w:szCs w:val="28"/>
        </w:rPr>
      </w:pPr>
      <w:r>
        <w:rPr>
          <w:rFonts w:ascii="Arial" w:hAnsi="Arial" w:cs="Arial"/>
          <w:b/>
          <w:bCs/>
          <w:sz w:val="28"/>
          <w:szCs w:val="28"/>
        </w:rPr>
        <w:lastRenderedPageBreak/>
        <w:t>Figure 1</w:t>
      </w:r>
      <w:r>
        <w:rPr>
          <w:rFonts w:ascii="Arial" w:hAnsi="Arial" w:cs="Arial"/>
          <w:sz w:val="28"/>
          <w:szCs w:val="28"/>
        </w:rPr>
        <w:t xml:space="preserve">. </w:t>
      </w:r>
      <w:r w:rsidR="001D758F" w:rsidRPr="00DE4589">
        <w:rPr>
          <w:rFonts w:ascii="Arial" w:hAnsi="Arial" w:cs="Arial"/>
        </w:rPr>
        <w:t xml:space="preserve">The plot contains </w:t>
      </w:r>
      <w:proofErr w:type="gramStart"/>
      <w:r w:rsidR="001D758F" w:rsidRPr="00DE4589">
        <w:rPr>
          <w:rFonts w:ascii="Arial" w:hAnsi="Arial" w:cs="Arial"/>
        </w:rPr>
        <w:t>12 point</w:t>
      </w:r>
      <w:proofErr w:type="gramEnd"/>
      <w:r w:rsidR="001D758F" w:rsidRPr="00DE4589">
        <w:rPr>
          <w:rFonts w:ascii="Arial" w:hAnsi="Arial" w:cs="Arial"/>
        </w:rPr>
        <w:t xml:space="preserve"> clouds/boxplots</w:t>
      </w:r>
      <w:r w:rsidR="00863F68" w:rsidRPr="00DE4589">
        <w:rPr>
          <w:rFonts w:ascii="Arial" w:hAnsi="Arial" w:cs="Arial"/>
        </w:rPr>
        <w:t xml:space="preserve"> (positioned in 6 cells), in which points are ROC-AUC values plotted on a </w:t>
      </w:r>
      <w:r w:rsidR="001D758F" w:rsidRPr="00DE4589">
        <w:rPr>
          <w:rFonts w:ascii="Arial" w:hAnsi="Arial" w:cs="Arial"/>
        </w:rPr>
        <w:t xml:space="preserve">y-axis ranging from around .35 to .85. The </w:t>
      </w:r>
      <w:proofErr w:type="gramStart"/>
      <w:r w:rsidR="001D758F" w:rsidRPr="00DE4589">
        <w:rPr>
          <w:rFonts w:ascii="Arial" w:hAnsi="Arial" w:cs="Arial"/>
        </w:rPr>
        <w:t>6 point</w:t>
      </w:r>
      <w:proofErr w:type="gramEnd"/>
      <w:r w:rsidR="001D758F" w:rsidRPr="00DE4589">
        <w:rPr>
          <w:rFonts w:ascii="Arial" w:hAnsi="Arial" w:cs="Arial"/>
        </w:rPr>
        <w:t xml:space="preserve"> clouds on the top row</w:t>
      </w:r>
      <w:r w:rsidR="00863F68" w:rsidRPr="00DE4589">
        <w:rPr>
          <w:rFonts w:ascii="Arial" w:hAnsi="Arial" w:cs="Arial"/>
        </w:rPr>
        <w:t xml:space="preserve"> (in the top 3 cells)</w:t>
      </w:r>
      <w:r w:rsidR="001D758F" w:rsidRPr="00DE4589">
        <w:rPr>
          <w:rFonts w:ascii="Arial" w:hAnsi="Arial" w:cs="Arial"/>
        </w:rPr>
        <w:t xml:space="preserve"> correspond to the 6 final ROCAUC </w:t>
      </w:r>
      <w:r w:rsidR="00863F68" w:rsidRPr="00DE4589">
        <w:rPr>
          <w:rFonts w:ascii="Arial" w:hAnsi="Arial" w:cs="Arial"/>
        </w:rPr>
        <w:t>derived from averaging the predicted probabilities for each subject</w:t>
      </w:r>
      <w:r w:rsidR="005970AD">
        <w:rPr>
          <w:rFonts w:ascii="Arial" w:hAnsi="Arial" w:cs="Arial"/>
        </w:rPr>
        <w:t xml:space="preserve"> within each ensemble</w:t>
      </w:r>
      <w:r w:rsidR="00863F68" w:rsidRPr="00DE4589">
        <w:rPr>
          <w:rFonts w:ascii="Arial" w:hAnsi="Arial" w:cs="Arial"/>
        </w:rPr>
        <w:t xml:space="preserve">, and then calculating ROC-AUC one time (for each </w:t>
      </w:r>
      <w:r w:rsidR="005970AD">
        <w:rPr>
          <w:rFonts w:ascii="Arial" w:hAnsi="Arial" w:cs="Arial"/>
        </w:rPr>
        <w:t>ensemble)</w:t>
      </w:r>
      <w:r w:rsidR="00863F68" w:rsidRPr="00DE4589">
        <w:rPr>
          <w:rFonts w:ascii="Arial" w:hAnsi="Arial" w:cs="Arial"/>
        </w:rPr>
        <w:t>. The</w:t>
      </w:r>
      <w:r w:rsidR="005970AD">
        <w:rPr>
          <w:rFonts w:ascii="Arial" w:hAnsi="Arial" w:cs="Arial"/>
        </w:rPr>
        <w:t xml:space="preserve"> encoloured</w:t>
      </w:r>
      <w:r w:rsidR="00863F68" w:rsidRPr="00DE4589">
        <w:rPr>
          <w:rFonts w:ascii="Arial" w:hAnsi="Arial" w:cs="Arial"/>
        </w:rPr>
        <w:t xml:space="preserve"> point clouds are derived from bootstrap</w:t>
      </w:r>
      <w:r w:rsidR="005970AD">
        <w:rPr>
          <w:rFonts w:ascii="Arial" w:hAnsi="Arial" w:cs="Arial"/>
        </w:rPr>
        <w:t xml:space="preserve"> resampling the 100 models of each ensemble, recomputing the averaged</w:t>
      </w:r>
      <w:r w:rsidR="00863F68" w:rsidRPr="00DE4589">
        <w:rPr>
          <w:rFonts w:ascii="Arial" w:hAnsi="Arial" w:cs="Arial"/>
        </w:rPr>
        <w:t xml:space="preserve"> </w:t>
      </w:r>
      <w:r w:rsidR="005970AD">
        <w:rPr>
          <w:rFonts w:ascii="Arial" w:hAnsi="Arial" w:cs="Arial"/>
        </w:rPr>
        <w:t>predicted probabilities and corresponding ROCAUC, 1000 times. T</w:t>
      </w:r>
      <w:r w:rsidR="00863F68" w:rsidRPr="00DE4589">
        <w:rPr>
          <w:rFonts w:ascii="Arial" w:hAnsi="Arial" w:cs="Arial"/>
        </w:rPr>
        <w:t>he grey point cloud is the permuted null distribution used to compute the p-value for the 6</w:t>
      </w:r>
      <w:r w:rsidR="005970AD">
        <w:rPr>
          <w:rFonts w:ascii="Arial" w:hAnsi="Arial" w:cs="Arial"/>
        </w:rPr>
        <w:t xml:space="preserve"> observed</w:t>
      </w:r>
      <w:r w:rsidR="00863F68" w:rsidRPr="00DE4589">
        <w:rPr>
          <w:rFonts w:ascii="Arial" w:hAnsi="Arial" w:cs="Arial"/>
        </w:rPr>
        <w:t xml:space="preserve"> values. For a deeper </w:t>
      </w:r>
      <w:r w:rsidR="005970AD">
        <w:rPr>
          <w:rFonts w:ascii="Arial" w:hAnsi="Arial" w:cs="Arial"/>
        </w:rPr>
        <w:t>a</w:t>
      </w:r>
      <w:r w:rsidR="00863F68" w:rsidRPr="00DE4589">
        <w:rPr>
          <w:rFonts w:ascii="Arial" w:hAnsi="Arial" w:cs="Arial"/>
        </w:rPr>
        <w:t xml:space="preserve">nalysis of the certainty </w:t>
      </w:r>
      <w:r w:rsidR="005970AD">
        <w:rPr>
          <w:rFonts w:ascii="Arial" w:hAnsi="Arial" w:cs="Arial"/>
        </w:rPr>
        <w:t>and invariance</w:t>
      </w:r>
      <w:r w:rsidR="00863F68" w:rsidRPr="00DE4589">
        <w:rPr>
          <w:rFonts w:ascii="Arial" w:hAnsi="Arial" w:cs="Arial"/>
        </w:rPr>
        <w:t xml:space="preserve"> across the 100 iterations of cross-validation separately, we calculate ROC-AUC </w:t>
      </w:r>
      <w:r w:rsidR="00863F68" w:rsidRPr="00DE4589">
        <w:rPr>
          <w:rFonts w:ascii="Arial" w:hAnsi="Arial" w:cs="Arial"/>
          <w:i/>
          <w:iCs/>
        </w:rPr>
        <w:t>before</w:t>
      </w:r>
      <w:r w:rsidR="00863F68" w:rsidRPr="00DE4589">
        <w:rPr>
          <w:rFonts w:ascii="Arial" w:hAnsi="Arial" w:cs="Arial"/>
        </w:rPr>
        <w:t xml:space="preserve"> averaging predictions (100 distinct times) for each of the 6 </w:t>
      </w:r>
      <w:proofErr w:type="gramStart"/>
      <w:r w:rsidR="005970AD">
        <w:rPr>
          <w:rFonts w:ascii="Arial" w:hAnsi="Arial" w:cs="Arial"/>
        </w:rPr>
        <w:t>ensembles</w:t>
      </w:r>
      <w:r w:rsidR="00863F68" w:rsidRPr="00DE4589">
        <w:rPr>
          <w:rFonts w:ascii="Arial" w:hAnsi="Arial" w:cs="Arial"/>
        </w:rPr>
        <w:t>, and</w:t>
      </w:r>
      <w:proofErr w:type="gramEnd"/>
      <w:r w:rsidR="00863F68" w:rsidRPr="00DE4589">
        <w:rPr>
          <w:rFonts w:ascii="Arial" w:hAnsi="Arial" w:cs="Arial"/>
        </w:rPr>
        <w:t xml:space="preserve"> plot the resulting 100-point cloud and boxplot in the bottom row (bottom 3 cells) for each of the 6 model-type by preprocessing-type combinations. Each column </w:t>
      </w:r>
      <w:r w:rsidR="00132923" w:rsidRPr="00DE4589">
        <w:rPr>
          <w:rFonts w:ascii="Arial" w:hAnsi="Arial" w:cs="Arial"/>
        </w:rPr>
        <w:t>(</w:t>
      </w:r>
      <w:r w:rsidR="00863F68" w:rsidRPr="00DE4589">
        <w:rPr>
          <w:rFonts w:ascii="Arial" w:hAnsi="Arial" w:cs="Arial"/>
        </w:rPr>
        <w:t>and color</w:t>
      </w:r>
      <w:r w:rsidR="00132923" w:rsidRPr="00DE4589">
        <w:rPr>
          <w:rFonts w:ascii="Arial" w:hAnsi="Arial" w:cs="Arial"/>
        </w:rPr>
        <w:t>)</w:t>
      </w:r>
      <w:r w:rsidR="00863F68" w:rsidRPr="00DE4589">
        <w:rPr>
          <w:rFonts w:ascii="Arial" w:hAnsi="Arial" w:cs="Arial"/>
        </w:rPr>
        <w:t xml:space="preserve"> pertains to a different preprocessing pipeline, while within each cell, the cloud/boxplot on the left correspond</w:t>
      </w:r>
      <w:r w:rsidR="005970AD">
        <w:rPr>
          <w:rFonts w:ascii="Arial" w:hAnsi="Arial" w:cs="Arial"/>
        </w:rPr>
        <w:t>s</w:t>
      </w:r>
      <w:r w:rsidR="00863F68" w:rsidRPr="00DE4589">
        <w:rPr>
          <w:rFonts w:ascii="Arial" w:hAnsi="Arial" w:cs="Arial"/>
        </w:rPr>
        <w:t xml:space="preserve"> to </w:t>
      </w:r>
      <w:r w:rsidR="005970AD">
        <w:rPr>
          <w:rFonts w:ascii="Arial" w:hAnsi="Arial" w:cs="Arial"/>
        </w:rPr>
        <w:t>the GBM models and ensemble and those on the right pertain to the GLM models and ensemble</w:t>
      </w:r>
      <w:r w:rsidR="00132923" w:rsidRPr="00DE4589">
        <w:rPr>
          <w:rFonts w:ascii="Arial" w:hAnsi="Arial" w:cs="Arial"/>
        </w:rPr>
        <w:t>. Red lines reflect 95% confidence intervals</w:t>
      </w:r>
      <w:r w:rsidR="005970AD">
        <w:rPr>
          <w:rFonts w:ascii="Arial" w:hAnsi="Arial" w:cs="Arial"/>
        </w:rPr>
        <w:t>, based either on bootstrap standard error (top row, encoloured point clouds), or span the empirical 5</w:t>
      </w:r>
      <w:r w:rsidR="005970AD" w:rsidRPr="005970AD">
        <w:rPr>
          <w:rFonts w:ascii="Arial" w:hAnsi="Arial" w:cs="Arial"/>
          <w:vertAlign w:val="superscript"/>
        </w:rPr>
        <w:t>th</w:t>
      </w:r>
      <w:r w:rsidR="005970AD">
        <w:rPr>
          <w:rFonts w:ascii="Arial" w:hAnsi="Arial" w:cs="Arial"/>
        </w:rPr>
        <w:t xml:space="preserve"> to 95</w:t>
      </w:r>
      <w:r w:rsidR="005970AD" w:rsidRPr="005970AD">
        <w:rPr>
          <w:rFonts w:ascii="Arial" w:hAnsi="Arial" w:cs="Arial"/>
          <w:vertAlign w:val="superscript"/>
        </w:rPr>
        <w:t>th</w:t>
      </w:r>
      <w:r w:rsidR="005970AD">
        <w:rPr>
          <w:rFonts w:ascii="Arial" w:hAnsi="Arial" w:cs="Arial"/>
        </w:rPr>
        <w:t xml:space="preserve"> quantiles (for the null and individual-fold distributions).</w:t>
      </w:r>
    </w:p>
    <w:p w14:paraId="1EE99574" w14:textId="0217442F" w:rsidR="00907245" w:rsidRDefault="00907245" w:rsidP="00CA6436">
      <w:pPr>
        <w:ind w:firstLine="720"/>
        <w:rPr>
          <w:rFonts w:ascii="Arial" w:hAnsi="Arial" w:cs="Arial"/>
          <w:sz w:val="28"/>
          <w:szCs w:val="28"/>
        </w:rPr>
      </w:pPr>
    </w:p>
    <w:p w14:paraId="2A14D913" w14:textId="44AF05E8" w:rsidR="00F24401" w:rsidRDefault="00D17C78" w:rsidP="00DF4329">
      <w:pPr>
        <w:jc w:val="center"/>
        <w:rPr>
          <w:rFonts w:ascii="Arial" w:hAnsi="Arial" w:cs="Arial"/>
          <w:sz w:val="28"/>
          <w:szCs w:val="28"/>
        </w:rPr>
      </w:pPr>
      <w:r>
        <w:rPr>
          <w:rFonts w:ascii="Arial" w:hAnsi="Arial" w:cs="Arial"/>
          <w:i/>
          <w:iCs/>
          <w:sz w:val="28"/>
          <w:szCs w:val="28"/>
        </w:rPr>
        <w:t>Distinguishability of the Groups</w:t>
      </w:r>
    </w:p>
    <w:p w14:paraId="09826755" w14:textId="6AC2D762" w:rsidR="00D17C78" w:rsidRDefault="00D17C78" w:rsidP="00DF4329">
      <w:pPr>
        <w:jc w:val="center"/>
        <w:rPr>
          <w:rFonts w:ascii="Arial" w:hAnsi="Arial" w:cs="Arial"/>
          <w:sz w:val="28"/>
          <w:szCs w:val="28"/>
        </w:rPr>
      </w:pPr>
    </w:p>
    <w:p w14:paraId="259A60E5" w14:textId="11A3D800" w:rsidR="0063236F" w:rsidRDefault="00D17C78" w:rsidP="00D17C78">
      <w:pPr>
        <w:ind w:firstLine="720"/>
        <w:rPr>
          <w:rFonts w:ascii="Arial" w:hAnsi="Arial" w:cs="Arial"/>
          <w:sz w:val="28"/>
          <w:szCs w:val="28"/>
        </w:rPr>
      </w:pPr>
      <w:r>
        <w:rPr>
          <w:rFonts w:ascii="Arial" w:hAnsi="Arial" w:cs="Arial"/>
          <w:sz w:val="28"/>
          <w:szCs w:val="28"/>
        </w:rPr>
        <w:t xml:space="preserve">Quantifying the </w:t>
      </w:r>
      <w:r w:rsidR="000019BF">
        <w:rPr>
          <w:rFonts w:ascii="Arial" w:hAnsi="Arial" w:cs="Arial"/>
          <w:sz w:val="28"/>
          <w:szCs w:val="28"/>
        </w:rPr>
        <w:t xml:space="preserve">(dis)similarity between the ensemble’s predictions for participants </w:t>
      </w:r>
      <w:r w:rsidR="004E0B8C">
        <w:rPr>
          <w:rFonts w:ascii="Arial" w:hAnsi="Arial" w:cs="Arial"/>
          <w:sz w:val="28"/>
          <w:szCs w:val="28"/>
        </w:rPr>
        <w:t>of the</w:t>
      </w:r>
      <w:r w:rsidR="00F21639">
        <w:rPr>
          <w:rFonts w:ascii="Arial" w:hAnsi="Arial" w:cs="Arial"/>
          <w:sz w:val="28"/>
          <w:szCs w:val="28"/>
        </w:rPr>
        <w:t xml:space="preserve"> two</w:t>
      </w:r>
      <w:r w:rsidR="000019BF">
        <w:rPr>
          <w:rFonts w:ascii="Arial" w:hAnsi="Arial" w:cs="Arial"/>
          <w:sz w:val="28"/>
          <w:szCs w:val="28"/>
        </w:rPr>
        <w:t xml:space="preserve"> groups in the validation</w:t>
      </w:r>
      <w:r w:rsidR="004E0B8C">
        <w:rPr>
          <w:rFonts w:ascii="Arial" w:hAnsi="Arial" w:cs="Arial"/>
          <w:sz w:val="28"/>
          <w:szCs w:val="28"/>
        </w:rPr>
        <w:t xml:space="preserve"> set</w:t>
      </w:r>
      <w:r w:rsidR="000019BF">
        <w:rPr>
          <w:rFonts w:ascii="Arial" w:hAnsi="Arial" w:cs="Arial"/>
          <w:sz w:val="28"/>
          <w:szCs w:val="28"/>
        </w:rPr>
        <w:t xml:space="preserve"> can be a better way to evaluate the performance of the models than classification accuracy (or metrics based upon it such as ROC-AUC)</w:t>
      </w:r>
      <w:r w:rsidR="00F21639">
        <w:rPr>
          <w:rFonts w:ascii="Arial" w:hAnsi="Arial" w:cs="Arial"/>
          <w:sz w:val="28"/>
          <w:szCs w:val="28"/>
        </w:rPr>
        <w:t>,</w:t>
      </w:r>
      <w:r w:rsidR="000019BF">
        <w:rPr>
          <w:rFonts w:ascii="Arial" w:hAnsi="Arial" w:cs="Arial"/>
          <w:sz w:val="28"/>
          <w:szCs w:val="28"/>
        </w:rPr>
        <w:t xml:space="preserve"> because </w:t>
      </w:r>
      <w:r w:rsidR="00F21639">
        <w:rPr>
          <w:rFonts w:ascii="Arial" w:hAnsi="Arial" w:cs="Arial"/>
          <w:sz w:val="28"/>
          <w:szCs w:val="28"/>
        </w:rPr>
        <w:t xml:space="preserve">the </w:t>
      </w:r>
      <w:r w:rsidR="000019BF">
        <w:rPr>
          <w:rFonts w:ascii="Arial" w:hAnsi="Arial" w:cs="Arial"/>
          <w:sz w:val="28"/>
          <w:szCs w:val="28"/>
        </w:rPr>
        <w:t xml:space="preserve">thresholds (usually .5) </w:t>
      </w:r>
      <w:r w:rsidR="00F21639">
        <w:rPr>
          <w:rFonts w:ascii="Arial" w:hAnsi="Arial" w:cs="Arial"/>
          <w:sz w:val="28"/>
          <w:szCs w:val="28"/>
        </w:rPr>
        <w:t>required to make classifications are arbitrary unless the group sizes themselves carry some meaning (e.g., reflect the prevalence of a disease in a specific population)</w:t>
      </w:r>
      <w:r w:rsidR="000019BF">
        <w:rPr>
          <w:rFonts w:ascii="Arial" w:hAnsi="Arial" w:cs="Arial"/>
          <w:sz w:val="28"/>
          <w:szCs w:val="28"/>
        </w:rPr>
        <w:t>. Thus</w:t>
      </w:r>
      <w:r>
        <w:rPr>
          <w:rFonts w:ascii="Arial" w:hAnsi="Arial" w:cs="Arial"/>
          <w:sz w:val="28"/>
          <w:szCs w:val="28"/>
        </w:rPr>
        <w:t>,</w:t>
      </w:r>
      <w:r w:rsidR="00F21639">
        <w:rPr>
          <w:rFonts w:ascii="Arial" w:hAnsi="Arial" w:cs="Arial"/>
          <w:sz w:val="28"/>
          <w:szCs w:val="28"/>
        </w:rPr>
        <w:t xml:space="preserve"> to assess the distinctiveness of each group’s subcortical brain features (with respect to the other’s), we also computed the Kolmogorov-Smirnov </w:t>
      </w:r>
      <w:r w:rsidR="0063236F">
        <w:rPr>
          <w:rFonts w:ascii="Arial" w:hAnsi="Arial" w:cs="Arial"/>
          <w:sz w:val="28"/>
          <w:szCs w:val="28"/>
        </w:rPr>
        <w:t xml:space="preserve">(KS) </w:t>
      </w:r>
      <w:r w:rsidR="00F21639">
        <w:rPr>
          <w:rFonts w:ascii="Arial" w:hAnsi="Arial" w:cs="Arial"/>
          <w:sz w:val="28"/>
          <w:szCs w:val="28"/>
        </w:rPr>
        <w:t xml:space="preserve">test statistic between the distribution of predictions made for the early-adversity and comparison groups </w:t>
      </w:r>
      <w:r w:rsidR="0063236F">
        <w:rPr>
          <w:rFonts w:ascii="Arial" w:hAnsi="Arial" w:cs="Arial"/>
          <w:sz w:val="28"/>
          <w:szCs w:val="28"/>
        </w:rPr>
        <w:t>within</w:t>
      </w:r>
      <w:r w:rsidR="00F21639">
        <w:rPr>
          <w:rFonts w:ascii="Arial" w:hAnsi="Arial" w:cs="Arial"/>
          <w:sz w:val="28"/>
          <w:szCs w:val="28"/>
        </w:rPr>
        <w:t xml:space="preserve"> each ensemble. </w:t>
      </w:r>
      <w:r w:rsidR="00C93162">
        <w:rPr>
          <w:rFonts w:ascii="Arial" w:hAnsi="Arial" w:cs="Arial"/>
          <w:sz w:val="28"/>
          <w:szCs w:val="28"/>
        </w:rPr>
        <w:t xml:space="preserve">The Kolmogorov-Smirnov test is </w:t>
      </w:r>
      <w:proofErr w:type="gramStart"/>
      <w:r w:rsidR="00C93162">
        <w:rPr>
          <w:rFonts w:ascii="Arial" w:hAnsi="Arial" w:cs="Arial"/>
          <w:sz w:val="28"/>
          <w:szCs w:val="28"/>
        </w:rPr>
        <w:t>parametric, and</w:t>
      </w:r>
      <w:proofErr w:type="gramEnd"/>
      <w:r w:rsidR="00C93162">
        <w:rPr>
          <w:rFonts w:ascii="Arial" w:hAnsi="Arial" w:cs="Arial"/>
          <w:sz w:val="28"/>
          <w:szCs w:val="28"/>
        </w:rPr>
        <w:t xml:space="preserve"> enables statistical significance testing. However, to </w:t>
      </w:r>
      <w:proofErr w:type="spellStart"/>
      <w:r w:rsidR="00C93162">
        <w:rPr>
          <w:rFonts w:ascii="Arial" w:hAnsi="Arial" w:cs="Arial"/>
          <w:sz w:val="28"/>
          <w:szCs w:val="28"/>
        </w:rPr>
        <w:t>compliment</w:t>
      </w:r>
      <w:proofErr w:type="spellEnd"/>
      <w:r w:rsidR="00C93162">
        <w:rPr>
          <w:rFonts w:ascii="Arial" w:hAnsi="Arial" w:cs="Arial"/>
          <w:sz w:val="28"/>
          <w:szCs w:val="28"/>
        </w:rPr>
        <w:t xml:space="preserve"> our comparison of consistency between data- and theory-driven analyses, we also computed the empirical null distributions for the KS statistics calculated with each ensemble and a computed the permutation test p-value as well.</w:t>
      </w:r>
    </w:p>
    <w:p w14:paraId="4FCDAA96" w14:textId="1C98C453" w:rsidR="00D17C78" w:rsidRDefault="00F21639" w:rsidP="00D17C78">
      <w:pPr>
        <w:ind w:firstLine="720"/>
        <w:rPr>
          <w:rFonts w:ascii="Arial" w:hAnsi="Arial" w:cs="Arial"/>
          <w:sz w:val="28"/>
          <w:szCs w:val="28"/>
        </w:rPr>
      </w:pPr>
      <w:r>
        <w:rPr>
          <w:rFonts w:ascii="Arial" w:hAnsi="Arial" w:cs="Arial"/>
          <w:sz w:val="28"/>
          <w:szCs w:val="28"/>
        </w:rPr>
        <w:t xml:space="preserve">Figure 2 shows </w:t>
      </w:r>
      <w:r w:rsidR="00D9778A">
        <w:rPr>
          <w:rFonts w:ascii="Arial" w:hAnsi="Arial" w:cs="Arial"/>
          <w:sz w:val="28"/>
          <w:szCs w:val="28"/>
        </w:rPr>
        <w:t xml:space="preserve">plots </w:t>
      </w:r>
      <w:r>
        <w:rPr>
          <w:rFonts w:ascii="Arial" w:hAnsi="Arial" w:cs="Arial"/>
          <w:sz w:val="28"/>
          <w:szCs w:val="28"/>
        </w:rPr>
        <w:t>the empirical cumulative distribution</w:t>
      </w:r>
      <w:r w:rsidR="0063236F">
        <w:rPr>
          <w:rFonts w:ascii="Arial" w:hAnsi="Arial" w:cs="Arial"/>
          <w:sz w:val="28"/>
          <w:szCs w:val="28"/>
        </w:rPr>
        <w:t xml:space="preserve"> </w:t>
      </w:r>
      <w:r w:rsidR="00D9778A">
        <w:rPr>
          <w:rFonts w:ascii="Arial" w:hAnsi="Arial" w:cs="Arial"/>
          <w:sz w:val="28"/>
          <w:szCs w:val="28"/>
        </w:rPr>
        <w:t xml:space="preserve">function </w:t>
      </w:r>
      <w:r>
        <w:rPr>
          <w:rFonts w:ascii="Arial" w:hAnsi="Arial" w:cs="Arial"/>
          <w:sz w:val="28"/>
          <w:szCs w:val="28"/>
        </w:rPr>
        <w:t>for each ensemble’s predictions for each of the two groups</w:t>
      </w:r>
      <w:r w:rsidR="00D17C78">
        <w:rPr>
          <w:rFonts w:ascii="Arial" w:hAnsi="Arial" w:cs="Arial"/>
          <w:sz w:val="28"/>
          <w:szCs w:val="28"/>
        </w:rPr>
        <w:t xml:space="preserve">. </w:t>
      </w:r>
      <w:r>
        <w:rPr>
          <w:rFonts w:ascii="Arial" w:hAnsi="Arial" w:cs="Arial"/>
          <w:sz w:val="28"/>
          <w:szCs w:val="28"/>
        </w:rPr>
        <w:t>Figure 3</w:t>
      </w:r>
      <w:r w:rsidR="0063236F">
        <w:rPr>
          <w:rFonts w:ascii="Arial" w:hAnsi="Arial" w:cs="Arial"/>
          <w:sz w:val="28"/>
          <w:szCs w:val="28"/>
        </w:rPr>
        <w:t xml:space="preserve"> plots the KS test statistic</w:t>
      </w:r>
      <w:r w:rsidR="00D9778A">
        <w:rPr>
          <w:rFonts w:ascii="Arial" w:hAnsi="Arial" w:cs="Arial"/>
          <w:sz w:val="28"/>
          <w:szCs w:val="28"/>
        </w:rPr>
        <w:t xml:space="preserve"> derived from comparing the two distributions</w:t>
      </w:r>
      <w:r w:rsidR="00C93162">
        <w:rPr>
          <w:rFonts w:ascii="Arial" w:hAnsi="Arial" w:cs="Arial"/>
          <w:sz w:val="28"/>
          <w:szCs w:val="28"/>
        </w:rPr>
        <w:t xml:space="preserve"> (between participant groups) within each ensemble</w:t>
      </w:r>
      <w:r w:rsidR="00D9778A">
        <w:rPr>
          <w:rFonts w:ascii="Arial" w:hAnsi="Arial" w:cs="Arial"/>
          <w:sz w:val="28"/>
          <w:szCs w:val="28"/>
        </w:rPr>
        <w:t>. Analogously to the plot of ROCAUC</w:t>
      </w:r>
      <w:r w:rsidR="0063236F">
        <w:rPr>
          <w:rFonts w:ascii="Arial" w:hAnsi="Arial" w:cs="Arial"/>
          <w:sz w:val="28"/>
          <w:szCs w:val="28"/>
        </w:rPr>
        <w:t>,</w:t>
      </w:r>
      <w:r w:rsidR="00D9778A">
        <w:rPr>
          <w:rFonts w:ascii="Arial" w:hAnsi="Arial" w:cs="Arial"/>
          <w:sz w:val="28"/>
          <w:szCs w:val="28"/>
        </w:rPr>
        <w:t xml:space="preserve"> the three plots in the top row of the figure show the KS statistic from the predicted values averaged across the 100-model ensemble while the bottom three plots show KS computed for each constituent model’s predictions.</w:t>
      </w:r>
      <w:r w:rsidR="0063236F">
        <w:rPr>
          <w:rFonts w:ascii="Arial" w:hAnsi="Arial" w:cs="Arial"/>
          <w:sz w:val="28"/>
          <w:szCs w:val="28"/>
        </w:rPr>
        <w:t xml:space="preserve"> The results show</w:t>
      </w:r>
      <w:r w:rsidR="00D9778A">
        <w:rPr>
          <w:rFonts w:ascii="Arial" w:hAnsi="Arial" w:cs="Arial"/>
          <w:sz w:val="28"/>
          <w:szCs w:val="28"/>
        </w:rPr>
        <w:t xml:space="preserve"> that 4 of the 6 ensemble</w:t>
      </w:r>
      <w:r w:rsidR="0063236F">
        <w:rPr>
          <w:rFonts w:ascii="Arial" w:hAnsi="Arial" w:cs="Arial"/>
          <w:sz w:val="28"/>
          <w:szCs w:val="28"/>
        </w:rPr>
        <w:t>s</w:t>
      </w:r>
      <w:r w:rsidR="00D9778A">
        <w:rPr>
          <w:rFonts w:ascii="Arial" w:hAnsi="Arial" w:cs="Arial"/>
          <w:sz w:val="28"/>
          <w:szCs w:val="28"/>
        </w:rPr>
        <w:t xml:space="preserve"> generated significantly different predictions for the two groups: both the GBM and GLM models using the unadjusted</w:t>
      </w:r>
      <w:r w:rsidR="00C93162">
        <w:rPr>
          <w:rFonts w:ascii="Arial" w:hAnsi="Arial" w:cs="Arial"/>
          <w:sz w:val="28"/>
          <w:szCs w:val="28"/>
        </w:rPr>
        <w:t xml:space="preserve"> and</w:t>
      </w:r>
      <w:r w:rsidR="00D9778A">
        <w:rPr>
          <w:rFonts w:ascii="Arial" w:hAnsi="Arial" w:cs="Arial"/>
          <w:sz w:val="28"/>
          <w:szCs w:val="28"/>
        </w:rPr>
        <w:t xml:space="preserve"> age-and-sex-adjusted</w:t>
      </w:r>
      <w:r w:rsidR="0063236F">
        <w:rPr>
          <w:rFonts w:ascii="Arial" w:hAnsi="Arial" w:cs="Arial"/>
          <w:sz w:val="28"/>
          <w:szCs w:val="28"/>
        </w:rPr>
        <w:t xml:space="preserve"> </w:t>
      </w:r>
      <w:r w:rsidR="00D9778A">
        <w:rPr>
          <w:rFonts w:ascii="Arial" w:hAnsi="Arial" w:cs="Arial"/>
          <w:sz w:val="28"/>
          <w:szCs w:val="28"/>
        </w:rPr>
        <w:t>brain volumes. This also implies that after adjusting for cranial volume, neither</w:t>
      </w:r>
      <w:r w:rsidR="009F2F28">
        <w:rPr>
          <w:rFonts w:ascii="Arial" w:hAnsi="Arial" w:cs="Arial"/>
          <w:sz w:val="28"/>
          <w:szCs w:val="28"/>
        </w:rPr>
        <w:t xml:space="preserve"> </w:t>
      </w:r>
      <w:r w:rsidR="00D9778A">
        <w:rPr>
          <w:rFonts w:ascii="Arial" w:hAnsi="Arial" w:cs="Arial"/>
          <w:sz w:val="28"/>
          <w:szCs w:val="28"/>
        </w:rPr>
        <w:t xml:space="preserve">ensemble </w:t>
      </w:r>
      <w:r w:rsidR="00C93162">
        <w:rPr>
          <w:rFonts w:ascii="Arial" w:hAnsi="Arial" w:cs="Arial"/>
          <w:sz w:val="28"/>
          <w:szCs w:val="28"/>
        </w:rPr>
        <w:t>successfully disting</w:t>
      </w:r>
      <w:r w:rsidR="00D9778A">
        <w:rPr>
          <w:rFonts w:ascii="Arial" w:hAnsi="Arial" w:cs="Arial"/>
          <w:sz w:val="28"/>
          <w:szCs w:val="28"/>
        </w:rPr>
        <w:t>uish</w:t>
      </w:r>
      <w:r w:rsidR="00C93162">
        <w:rPr>
          <w:rFonts w:ascii="Arial" w:hAnsi="Arial" w:cs="Arial"/>
          <w:sz w:val="28"/>
          <w:szCs w:val="28"/>
        </w:rPr>
        <w:t>ed</w:t>
      </w:r>
      <w:r w:rsidR="00D9778A">
        <w:rPr>
          <w:rFonts w:ascii="Arial" w:hAnsi="Arial" w:cs="Arial"/>
          <w:sz w:val="28"/>
          <w:szCs w:val="28"/>
        </w:rPr>
        <w:t xml:space="preserve"> the two groups </w:t>
      </w:r>
      <w:r w:rsidR="00C93162">
        <w:rPr>
          <w:rFonts w:ascii="Arial" w:hAnsi="Arial" w:cs="Arial"/>
          <w:sz w:val="28"/>
          <w:szCs w:val="28"/>
        </w:rPr>
        <w:t>more significantly</w:t>
      </w:r>
      <w:r w:rsidR="009F2F28">
        <w:rPr>
          <w:rFonts w:ascii="Arial" w:hAnsi="Arial" w:cs="Arial"/>
          <w:sz w:val="28"/>
          <w:szCs w:val="28"/>
        </w:rPr>
        <w:t xml:space="preserve"> than</w:t>
      </w:r>
      <w:r w:rsidR="00D9778A">
        <w:rPr>
          <w:rFonts w:ascii="Arial" w:hAnsi="Arial" w:cs="Arial"/>
          <w:sz w:val="28"/>
          <w:szCs w:val="28"/>
        </w:rPr>
        <w:t xml:space="preserve"> </w:t>
      </w:r>
      <w:r w:rsidR="00C93162">
        <w:rPr>
          <w:rFonts w:ascii="Arial" w:hAnsi="Arial" w:cs="Arial"/>
          <w:sz w:val="28"/>
          <w:szCs w:val="28"/>
        </w:rPr>
        <w:t xml:space="preserve">would be expected by </w:t>
      </w:r>
      <w:r w:rsidR="00D9778A">
        <w:rPr>
          <w:rFonts w:ascii="Arial" w:hAnsi="Arial" w:cs="Arial"/>
          <w:sz w:val="28"/>
          <w:szCs w:val="28"/>
        </w:rPr>
        <w:t xml:space="preserve">chance. </w:t>
      </w:r>
      <w:r w:rsidR="009F2F28">
        <w:rPr>
          <w:rFonts w:ascii="Arial" w:hAnsi="Arial" w:cs="Arial"/>
          <w:sz w:val="28"/>
          <w:szCs w:val="28"/>
        </w:rPr>
        <w:t xml:space="preserve">The greatest </w:t>
      </w:r>
      <w:r w:rsidR="00C93162">
        <w:rPr>
          <w:rFonts w:ascii="Arial" w:hAnsi="Arial" w:cs="Arial"/>
          <w:sz w:val="28"/>
          <w:szCs w:val="28"/>
        </w:rPr>
        <w:t xml:space="preserve">vertical </w:t>
      </w:r>
      <w:r w:rsidR="009F2F28">
        <w:rPr>
          <w:rFonts w:ascii="Arial" w:hAnsi="Arial" w:cs="Arial"/>
          <w:sz w:val="28"/>
          <w:szCs w:val="28"/>
        </w:rPr>
        <w:t xml:space="preserve">distance between the two distributions is generated by the GBM ensemble using unadjusted predictors (KS-statistic = .534, parametric p-value = </w:t>
      </w:r>
      <w:r w:rsidR="0027445F">
        <w:rPr>
          <w:rFonts w:ascii="Arial" w:hAnsi="Arial" w:cs="Arial"/>
          <w:sz w:val="28"/>
          <w:szCs w:val="28"/>
        </w:rPr>
        <w:t>.0002</w:t>
      </w:r>
      <w:r w:rsidR="009F2F28">
        <w:rPr>
          <w:rFonts w:ascii="Arial" w:hAnsi="Arial" w:cs="Arial"/>
          <w:sz w:val="28"/>
          <w:szCs w:val="28"/>
        </w:rPr>
        <w:t xml:space="preserve">, permutation p-value &lt; .001) followed by the GBM model using </w:t>
      </w:r>
      <w:r w:rsidR="004E213F">
        <w:rPr>
          <w:rFonts w:ascii="Arial" w:hAnsi="Arial" w:cs="Arial"/>
          <w:sz w:val="28"/>
          <w:szCs w:val="28"/>
        </w:rPr>
        <w:t>predictors adjusted for age and sex</w:t>
      </w:r>
      <w:r w:rsidR="009F2F28">
        <w:rPr>
          <w:rFonts w:ascii="Arial" w:hAnsi="Arial" w:cs="Arial"/>
          <w:sz w:val="28"/>
          <w:szCs w:val="28"/>
        </w:rPr>
        <w:t xml:space="preserve"> </w:t>
      </w:r>
      <w:r w:rsidR="009F2F28">
        <w:rPr>
          <w:rFonts w:ascii="Arial" w:hAnsi="Arial" w:cs="Arial"/>
          <w:sz w:val="28"/>
          <w:szCs w:val="28"/>
        </w:rPr>
        <w:lastRenderedPageBreak/>
        <w:t xml:space="preserve">(KS = </w:t>
      </w:r>
      <w:r w:rsidR="009F2F28">
        <w:rPr>
          <w:rFonts w:ascii="Arial" w:hAnsi="Arial" w:cs="Arial"/>
          <w:sz w:val="28"/>
          <w:szCs w:val="28"/>
        </w:rPr>
        <w:t>.472</w:t>
      </w:r>
      <w:r w:rsidR="0027445F">
        <w:rPr>
          <w:rFonts w:ascii="Arial" w:hAnsi="Arial" w:cs="Arial"/>
          <w:sz w:val="28"/>
          <w:szCs w:val="28"/>
        </w:rPr>
        <w:t xml:space="preserve">, </w:t>
      </w:r>
      <w:r w:rsidR="0027445F">
        <w:rPr>
          <w:rFonts w:ascii="Arial" w:hAnsi="Arial" w:cs="Arial"/>
          <w:sz w:val="28"/>
          <w:szCs w:val="28"/>
        </w:rPr>
        <w:t>parametric p-value = .0008, permutation p-value &lt; .001</w:t>
      </w:r>
      <w:r w:rsidR="0027445F">
        <w:rPr>
          <w:rFonts w:ascii="Arial" w:hAnsi="Arial" w:cs="Arial"/>
          <w:sz w:val="28"/>
          <w:szCs w:val="28"/>
        </w:rPr>
        <w:t xml:space="preserve">), </w:t>
      </w:r>
      <w:r w:rsidR="004E213F">
        <w:rPr>
          <w:rFonts w:ascii="Arial" w:hAnsi="Arial" w:cs="Arial"/>
          <w:sz w:val="28"/>
          <w:szCs w:val="28"/>
        </w:rPr>
        <w:t>the</w:t>
      </w:r>
      <w:r w:rsidR="0027445F">
        <w:rPr>
          <w:rFonts w:ascii="Arial" w:hAnsi="Arial" w:cs="Arial"/>
          <w:sz w:val="28"/>
          <w:szCs w:val="28"/>
        </w:rPr>
        <w:t xml:space="preserve"> GLM ensemble with unadjusted features (KS = .</w:t>
      </w:r>
      <w:r w:rsidR="004E213F">
        <w:rPr>
          <w:rFonts w:ascii="Arial" w:hAnsi="Arial" w:cs="Arial"/>
          <w:sz w:val="28"/>
          <w:szCs w:val="28"/>
        </w:rPr>
        <w:t>351</w:t>
      </w:r>
      <w:r w:rsidR="0027445F">
        <w:rPr>
          <w:rFonts w:ascii="Arial" w:hAnsi="Arial" w:cs="Arial"/>
          <w:sz w:val="28"/>
          <w:szCs w:val="28"/>
        </w:rPr>
        <w:t xml:space="preserve">, </w:t>
      </w:r>
      <w:r w:rsidR="004E213F">
        <w:rPr>
          <w:rFonts w:ascii="Arial" w:hAnsi="Arial" w:cs="Arial"/>
          <w:sz w:val="28"/>
          <w:szCs w:val="28"/>
        </w:rPr>
        <w:t>parametric p-value = .04</w:t>
      </w:r>
      <w:r w:rsidR="0027445F">
        <w:rPr>
          <w:rFonts w:ascii="Arial" w:hAnsi="Arial" w:cs="Arial"/>
          <w:sz w:val="28"/>
          <w:szCs w:val="28"/>
        </w:rPr>
        <w:t>,</w:t>
      </w:r>
      <w:r w:rsidR="004E213F">
        <w:rPr>
          <w:rFonts w:ascii="Arial" w:hAnsi="Arial" w:cs="Arial"/>
          <w:sz w:val="28"/>
          <w:szCs w:val="28"/>
        </w:rPr>
        <w:t xml:space="preserve"> permutation p-value = .03</w:t>
      </w:r>
      <w:r w:rsidR="009F2F28">
        <w:rPr>
          <w:rFonts w:ascii="Arial" w:hAnsi="Arial" w:cs="Arial"/>
          <w:sz w:val="28"/>
          <w:szCs w:val="28"/>
        </w:rPr>
        <w:t>)</w:t>
      </w:r>
      <w:r w:rsidR="004E213F">
        <w:rPr>
          <w:rFonts w:ascii="Arial" w:hAnsi="Arial" w:cs="Arial"/>
          <w:sz w:val="28"/>
          <w:szCs w:val="28"/>
        </w:rPr>
        <w:t xml:space="preserve"> and finally the GLM model using predictors adjusted for age and sex (KS = .341, parametric p-value = .03, permutation p-value = .03)</w:t>
      </w:r>
      <w:r w:rsidR="009F2F28">
        <w:rPr>
          <w:rFonts w:ascii="Arial" w:hAnsi="Arial" w:cs="Arial"/>
          <w:sz w:val="28"/>
          <w:szCs w:val="28"/>
        </w:rPr>
        <w:t xml:space="preserve">. </w:t>
      </w:r>
    </w:p>
    <w:p w14:paraId="64007E26" w14:textId="09660C0D" w:rsidR="00D17C78" w:rsidRDefault="00C93162" w:rsidP="00D17C78">
      <w:pPr>
        <w:ind w:firstLine="720"/>
        <w:rPr>
          <w:rFonts w:ascii="Arial" w:hAnsi="Arial" w:cs="Arial"/>
          <w:sz w:val="28"/>
          <w:szCs w:val="28"/>
        </w:rPr>
      </w:pPr>
      <w:r>
        <w:rPr>
          <w:rFonts w:ascii="Arial" w:hAnsi="Arial" w:cs="Arial"/>
          <w:b/>
          <w:bCs/>
          <w:i/>
          <w:iCs/>
          <w:noProof/>
          <w:sz w:val="28"/>
          <w:szCs w:val="28"/>
        </w:rPr>
        <mc:AlternateContent>
          <mc:Choice Requires="wps">
            <w:drawing>
              <wp:anchor distT="0" distB="0" distL="114300" distR="114300" simplePos="0" relativeHeight="251674624" behindDoc="0" locked="0" layoutInCell="1" allowOverlap="1" wp14:anchorId="23008EFF" wp14:editId="74C59EDD">
                <wp:simplePos x="0" y="0"/>
                <wp:positionH relativeFrom="column">
                  <wp:posOffset>6068060</wp:posOffset>
                </wp:positionH>
                <wp:positionV relativeFrom="paragraph">
                  <wp:posOffset>2677160</wp:posOffset>
                </wp:positionV>
                <wp:extent cx="568960" cy="29464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68960" cy="294640"/>
                        </a:xfrm>
                        <a:prstGeom prst="rect">
                          <a:avLst/>
                        </a:prstGeom>
                        <a:noFill/>
                        <a:ln w="6350">
                          <a:noFill/>
                        </a:ln>
                      </wps:spPr>
                      <wps:txbx>
                        <w:txbxContent>
                          <w:p w14:paraId="58893EDB" w14:textId="693180ED" w:rsidR="00C93162" w:rsidRDefault="00C93162" w:rsidP="00C93162">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008EFF" id="_x0000_t202" coordsize="21600,21600" o:spt="202" path="m,l,21600r21600,l21600,xe">
                <v:stroke joinstyle="miter"/>
                <v:path gradientshapeok="t" o:connecttype="rect"/>
              </v:shapetype>
              <v:shape id="Text Box 12" o:spid="_x0000_s1026" type="#_x0000_t202" style="position:absolute;left:0;text-align:left;margin-left:477.8pt;margin-top:210.8pt;width:44.8pt;height:23.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" filled="f" stroked="f" strokeweight=".5pt">
                <v:textbox>
                  <w:txbxContent>
                    <w:p w14:paraId="58893EDB" w14:textId="693180ED" w:rsidR="00C93162" w:rsidRDefault="00C93162" w:rsidP="00C93162">
                      <w:r>
                        <w:t>*</w:t>
                      </w:r>
                    </w:p>
                  </w:txbxContent>
                </v:textbox>
              </v:shape>
            </w:pict>
          </mc:Fallback>
        </mc:AlternateContent>
      </w:r>
      <w:r>
        <w:rPr>
          <w:rFonts w:ascii="Arial" w:hAnsi="Arial" w:cs="Arial"/>
          <w:b/>
          <w:bCs/>
          <w:i/>
          <w:iCs/>
          <w:noProof/>
          <w:sz w:val="28"/>
          <w:szCs w:val="28"/>
        </w:rPr>
        <mc:AlternateContent>
          <mc:Choice Requires="wps">
            <w:drawing>
              <wp:anchor distT="0" distB="0" distL="114300" distR="114300" simplePos="0" relativeHeight="251672576" behindDoc="0" locked="0" layoutInCell="1" allowOverlap="1" wp14:anchorId="20237A19" wp14:editId="255D8135">
                <wp:simplePos x="0" y="0"/>
                <wp:positionH relativeFrom="column">
                  <wp:posOffset>1932940</wp:posOffset>
                </wp:positionH>
                <wp:positionV relativeFrom="paragraph">
                  <wp:posOffset>2616200</wp:posOffset>
                </wp:positionV>
                <wp:extent cx="568960" cy="29464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68960" cy="294640"/>
                        </a:xfrm>
                        <a:prstGeom prst="rect">
                          <a:avLst/>
                        </a:prstGeom>
                        <a:noFill/>
                        <a:ln w="6350">
                          <a:noFill/>
                        </a:ln>
                      </wps:spPr>
                      <wps:txbx>
                        <w:txbxContent>
                          <w:p w14:paraId="166B11FD" w14:textId="219CC0E8" w:rsidR="00C93162" w:rsidRDefault="00C93162" w:rsidP="00C93162">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37A19" id="Text Box 11" o:spid="_x0000_s1027" type="#_x0000_t202" style="position:absolute;left:0;text-align:left;margin-left:152.2pt;margin-top:206pt;width:44.8pt;height:23.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" filled="f" stroked="f" strokeweight=".5pt">
                <v:textbox>
                  <w:txbxContent>
                    <w:p w14:paraId="166B11FD" w14:textId="219CC0E8" w:rsidR="00C93162" w:rsidRDefault="00C93162" w:rsidP="00C93162">
                      <w:r>
                        <w:t>*</w:t>
                      </w:r>
                    </w:p>
                  </w:txbxContent>
                </v:textbox>
              </v:shape>
            </w:pict>
          </mc:Fallback>
        </mc:AlternateContent>
      </w:r>
      <w:r>
        <w:rPr>
          <w:rFonts w:ascii="Arial" w:hAnsi="Arial" w:cs="Arial"/>
          <w:b/>
          <w:bCs/>
          <w:i/>
          <w:iCs/>
          <w:noProof/>
          <w:sz w:val="28"/>
          <w:szCs w:val="28"/>
        </w:rPr>
        <mc:AlternateContent>
          <mc:Choice Requires="wps">
            <w:drawing>
              <wp:anchor distT="0" distB="0" distL="114300" distR="114300" simplePos="0" relativeHeight="251676672" behindDoc="0" locked="0" layoutInCell="1" allowOverlap="1" wp14:anchorId="49391878" wp14:editId="1CD722B3">
                <wp:simplePos x="0" y="0"/>
                <wp:positionH relativeFrom="column">
                  <wp:posOffset>5875020</wp:posOffset>
                </wp:positionH>
                <wp:positionV relativeFrom="paragraph">
                  <wp:posOffset>1000760</wp:posOffset>
                </wp:positionV>
                <wp:extent cx="568960" cy="29464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68960" cy="294640"/>
                        </a:xfrm>
                        <a:prstGeom prst="rect">
                          <a:avLst/>
                        </a:prstGeom>
                        <a:noFill/>
                        <a:ln w="6350">
                          <a:noFill/>
                        </a:ln>
                      </wps:spPr>
                      <wps:txbx>
                        <w:txbxContent>
                          <w:p w14:paraId="646EA93A" w14:textId="77777777" w:rsidR="00C93162" w:rsidRDefault="00C93162" w:rsidP="00C93162">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91878" id="Text Box 13" o:spid="_x0000_s1028" type="#_x0000_t202" style="position:absolute;left:0;text-align:left;margin-left:462.6pt;margin-top:78.8pt;width:44.8pt;height:23.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" filled="f" stroked="f" strokeweight=".5pt">
                <v:textbox>
                  <w:txbxContent>
                    <w:p w14:paraId="646EA93A" w14:textId="77777777" w:rsidR="00C93162" w:rsidRDefault="00C93162" w:rsidP="00C93162">
                      <w:r>
                        <w:t>***</w:t>
                      </w:r>
                    </w:p>
                  </w:txbxContent>
                </v:textbox>
              </v:shape>
            </w:pict>
          </mc:Fallback>
        </mc:AlternateContent>
      </w:r>
      <w:r>
        <w:rPr>
          <w:rFonts w:ascii="Arial" w:hAnsi="Arial" w:cs="Arial"/>
          <w:b/>
          <w:bCs/>
          <w:i/>
          <w:iCs/>
          <w:noProof/>
          <w:sz w:val="28"/>
          <w:szCs w:val="28"/>
        </w:rPr>
        <mc:AlternateContent>
          <mc:Choice Requires="wps">
            <w:drawing>
              <wp:anchor distT="0" distB="0" distL="114300" distR="114300" simplePos="0" relativeHeight="251668480" behindDoc="0" locked="0" layoutInCell="1" allowOverlap="1" wp14:anchorId="647B5740" wp14:editId="1CA2E22E">
                <wp:simplePos x="0" y="0"/>
                <wp:positionH relativeFrom="column">
                  <wp:posOffset>1767840</wp:posOffset>
                </wp:positionH>
                <wp:positionV relativeFrom="paragraph">
                  <wp:posOffset>1000760</wp:posOffset>
                </wp:positionV>
                <wp:extent cx="568960" cy="294640"/>
                <wp:effectExtent l="0" t="0" r="0" b="0"/>
                <wp:wrapNone/>
                <wp:docPr id="9" name="Text Box 9"/>
                <wp:cNvGraphicFramePr/>
                <a:graphic xmlns:a="http://schemas.openxmlformats.org/drawingml/2006/main">
                  <a:graphicData uri="http://schemas.microsoft.com/office/word/2010/wordprocessingShape">
                    <wps:wsp>
                      <wps:cNvSpPr txBox="1"/>
                      <wps:spPr>
                        <a:xfrm>
                          <a:off x="0" y="0"/>
                          <a:ext cx="568960" cy="294640"/>
                        </a:xfrm>
                        <a:prstGeom prst="rect">
                          <a:avLst/>
                        </a:prstGeom>
                        <a:noFill/>
                        <a:ln w="6350">
                          <a:noFill/>
                        </a:ln>
                      </wps:spPr>
                      <wps:txbx>
                        <w:txbxContent>
                          <w:p w14:paraId="4336123D" w14:textId="6C43CE79" w:rsidR="00C93162" w:rsidRDefault="00C93162">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B5740" id="Text Box 9" o:spid="_x0000_s1029" type="#_x0000_t202" style="position:absolute;left:0;text-align:left;margin-left:139.2pt;margin-top:78.8pt;width:44.8pt;height:23.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" filled="f" stroked="f" strokeweight=".5pt">
                <v:textbox>
                  <w:txbxContent>
                    <w:p w14:paraId="4336123D" w14:textId="6C43CE79" w:rsidR="00C93162" w:rsidRDefault="00C93162">
                      <w:r>
                        <w:t>***</w:t>
                      </w:r>
                    </w:p>
                  </w:txbxContent>
                </v:textbox>
              </v:shape>
            </w:pict>
          </mc:Fallback>
        </mc:AlternateContent>
      </w:r>
      <w:r>
        <w:rPr>
          <w:rFonts w:ascii="Arial" w:hAnsi="Arial" w:cs="Arial"/>
          <w:b/>
          <w:bCs/>
          <w:i/>
          <w:iCs/>
          <w:noProof/>
          <w:sz w:val="28"/>
          <w:szCs w:val="28"/>
        </w:rPr>
        <mc:AlternateContent>
          <mc:Choice Requires="wps">
            <w:drawing>
              <wp:anchor distT="0" distB="0" distL="114300" distR="114300" simplePos="0" relativeHeight="251665408" behindDoc="0" locked="0" layoutInCell="1" allowOverlap="1" wp14:anchorId="0166362F" wp14:editId="2B9DBCD9">
                <wp:simplePos x="0" y="0"/>
                <wp:positionH relativeFrom="column">
                  <wp:posOffset>6068060</wp:posOffset>
                </wp:positionH>
                <wp:positionV relativeFrom="paragraph">
                  <wp:posOffset>2362200</wp:posOffset>
                </wp:positionV>
                <wp:extent cx="0" cy="609600"/>
                <wp:effectExtent l="12700" t="0" r="12700" b="12700"/>
                <wp:wrapNone/>
                <wp:docPr id="7" name="Straight Connector 7"/>
                <wp:cNvGraphicFramePr/>
                <a:graphic xmlns:a="http://schemas.openxmlformats.org/drawingml/2006/main">
                  <a:graphicData uri="http://schemas.microsoft.com/office/word/2010/wordprocessingShape">
                    <wps:wsp>
                      <wps:cNvCnPr/>
                      <wps:spPr>
                        <a:xfrm>
                          <a:off x="0" y="0"/>
                          <a:ext cx="0" cy="609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B5D6C9A" id="Straight Connector 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77.8pt,186pt" to="477.8pt,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" strokecolor="black [3200]" strokeweight="1.5pt">
                <v:stroke joinstyle="miter"/>
              </v:line>
            </w:pict>
          </mc:Fallback>
        </mc:AlternateContent>
      </w:r>
      <w:r>
        <w:rPr>
          <w:rFonts w:ascii="Arial" w:hAnsi="Arial" w:cs="Arial"/>
          <w:b/>
          <w:bCs/>
          <w:i/>
          <w:iCs/>
          <w:noProof/>
          <w:sz w:val="28"/>
          <w:szCs w:val="28"/>
        </w:rPr>
        <mc:AlternateContent>
          <mc:Choice Requires="wps">
            <w:drawing>
              <wp:anchor distT="0" distB="0" distL="114300" distR="114300" simplePos="0" relativeHeight="251663360" behindDoc="0" locked="0" layoutInCell="1" allowOverlap="1" wp14:anchorId="76E46DE4" wp14:editId="74A8D69B">
                <wp:simplePos x="0" y="0"/>
                <wp:positionH relativeFrom="column">
                  <wp:posOffset>1935480</wp:posOffset>
                </wp:positionH>
                <wp:positionV relativeFrom="paragraph">
                  <wp:posOffset>2362200</wp:posOffset>
                </wp:positionV>
                <wp:extent cx="0" cy="609600"/>
                <wp:effectExtent l="12700" t="0" r="12700" b="12700"/>
                <wp:wrapNone/>
                <wp:docPr id="6" name="Straight Connector 6"/>
                <wp:cNvGraphicFramePr/>
                <a:graphic xmlns:a="http://schemas.openxmlformats.org/drawingml/2006/main">
                  <a:graphicData uri="http://schemas.microsoft.com/office/word/2010/wordprocessingShape">
                    <wps:wsp>
                      <wps:cNvCnPr/>
                      <wps:spPr>
                        <a:xfrm>
                          <a:off x="0" y="0"/>
                          <a:ext cx="0" cy="609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5C79F81"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52.4pt,186pt" to="152.4pt,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" strokecolor="black [3200]" strokeweight="1.5pt">
                <v:stroke joinstyle="miter"/>
              </v:line>
            </w:pict>
          </mc:Fallback>
        </mc:AlternateContent>
      </w:r>
      <w:r>
        <w:rPr>
          <w:rFonts w:ascii="Arial" w:hAnsi="Arial" w:cs="Arial"/>
          <w:b/>
          <w:bCs/>
          <w:i/>
          <w:iCs/>
          <w:noProof/>
          <w:sz w:val="28"/>
          <w:szCs w:val="28"/>
        </w:rPr>
        <mc:AlternateContent>
          <mc:Choice Requires="wps">
            <w:drawing>
              <wp:anchor distT="0" distB="0" distL="114300" distR="114300" simplePos="0" relativeHeight="251667456" behindDoc="0" locked="0" layoutInCell="1" allowOverlap="1" wp14:anchorId="5A174E1A" wp14:editId="3B1EC398">
                <wp:simplePos x="0" y="0"/>
                <wp:positionH relativeFrom="column">
                  <wp:posOffset>5905500</wp:posOffset>
                </wp:positionH>
                <wp:positionV relativeFrom="paragraph">
                  <wp:posOffset>899160</wp:posOffset>
                </wp:positionV>
                <wp:extent cx="0" cy="609600"/>
                <wp:effectExtent l="12700" t="0" r="12700" b="12700"/>
                <wp:wrapNone/>
                <wp:docPr id="8" name="Straight Connector 8"/>
                <wp:cNvGraphicFramePr/>
                <a:graphic xmlns:a="http://schemas.openxmlformats.org/drawingml/2006/main">
                  <a:graphicData uri="http://schemas.microsoft.com/office/word/2010/wordprocessingShape">
                    <wps:wsp>
                      <wps:cNvCnPr/>
                      <wps:spPr>
                        <a:xfrm>
                          <a:off x="0" y="0"/>
                          <a:ext cx="0" cy="609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4D52233" id="Straight Connector 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65pt,70.8pt" to="465pt,11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" strokecolor="black [3200]" strokeweight="1.5pt">
                <v:stroke joinstyle="miter"/>
              </v:line>
            </w:pict>
          </mc:Fallback>
        </mc:AlternateContent>
      </w:r>
      <w:r>
        <w:rPr>
          <w:rFonts w:ascii="Arial" w:hAnsi="Arial" w:cs="Arial"/>
          <w:b/>
          <w:bCs/>
          <w:i/>
          <w:iCs/>
          <w:noProof/>
          <w:sz w:val="28"/>
          <w:szCs w:val="28"/>
        </w:rPr>
        <mc:AlternateContent>
          <mc:Choice Requires="wps">
            <w:drawing>
              <wp:anchor distT="0" distB="0" distL="114300" distR="114300" simplePos="0" relativeHeight="251661312" behindDoc="0" locked="0" layoutInCell="1" allowOverlap="1" wp14:anchorId="7E04AA13" wp14:editId="1B8B43D2">
                <wp:simplePos x="0" y="0"/>
                <wp:positionH relativeFrom="column">
                  <wp:posOffset>1767840</wp:posOffset>
                </wp:positionH>
                <wp:positionV relativeFrom="paragraph">
                  <wp:posOffset>889000</wp:posOffset>
                </wp:positionV>
                <wp:extent cx="0" cy="609600"/>
                <wp:effectExtent l="12700" t="0" r="12700" b="12700"/>
                <wp:wrapNone/>
                <wp:docPr id="5" name="Straight Connector 5"/>
                <wp:cNvGraphicFramePr/>
                <a:graphic xmlns:a="http://schemas.openxmlformats.org/drawingml/2006/main">
                  <a:graphicData uri="http://schemas.microsoft.com/office/word/2010/wordprocessingShape">
                    <wps:wsp>
                      <wps:cNvCnPr/>
                      <wps:spPr>
                        <a:xfrm>
                          <a:off x="0" y="0"/>
                          <a:ext cx="0" cy="609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0FF9101"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39.2pt,70pt" to="139.2pt,1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" strokecolor="black [3200]" strokeweight="1.5pt">
                <v:stroke joinstyle="miter"/>
              </v:line>
            </w:pict>
          </mc:Fallback>
        </mc:AlternateContent>
      </w:r>
      <w:r w:rsidRPr="003C3547">
        <w:rPr>
          <w:rFonts w:ascii="Arial" w:hAnsi="Arial" w:cs="Arial"/>
          <w:b/>
          <w:bCs/>
          <w:i/>
          <w:iCs/>
          <w:noProof/>
          <w:sz w:val="28"/>
          <w:szCs w:val="28"/>
        </w:rPr>
        <w:drawing>
          <wp:anchor distT="0" distB="0" distL="114300" distR="114300" simplePos="0" relativeHeight="251660288" behindDoc="0" locked="0" layoutInCell="1" allowOverlap="1" wp14:anchorId="2C06EF54" wp14:editId="1191BA7C">
            <wp:simplePos x="0" y="0"/>
            <wp:positionH relativeFrom="column">
              <wp:posOffset>-199390</wp:posOffset>
            </wp:positionH>
            <wp:positionV relativeFrom="paragraph">
              <wp:posOffset>208280</wp:posOffset>
            </wp:positionV>
            <wp:extent cx="7353300" cy="3342640"/>
            <wp:effectExtent l="0" t="0" r="0" b="0"/>
            <wp:wrapTopAndBottom/>
            <wp:docPr id="4" name="Picture 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 scatte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7353300" cy="3342640"/>
                    </a:xfrm>
                    <a:prstGeom prst="rect">
                      <a:avLst/>
                    </a:prstGeom>
                  </pic:spPr>
                </pic:pic>
              </a:graphicData>
            </a:graphic>
            <wp14:sizeRelH relativeFrom="page">
              <wp14:pctWidth>0</wp14:pctWidth>
            </wp14:sizeRelH>
            <wp14:sizeRelV relativeFrom="page">
              <wp14:pctHeight>0</wp14:pctHeight>
            </wp14:sizeRelV>
          </wp:anchor>
        </w:drawing>
      </w:r>
    </w:p>
    <w:p w14:paraId="16C74347" w14:textId="31D37DAF" w:rsidR="00D17C78" w:rsidRPr="003C3547" w:rsidRDefault="003C3547" w:rsidP="00D17C78">
      <w:pPr>
        <w:ind w:firstLine="720"/>
        <w:rPr>
          <w:rFonts w:ascii="Arial" w:hAnsi="Arial" w:cs="Arial"/>
        </w:rPr>
      </w:pPr>
      <w:r w:rsidRPr="003C3547">
        <w:rPr>
          <w:rFonts w:ascii="Arial" w:hAnsi="Arial" w:cs="Arial"/>
          <w:b/>
          <w:bCs/>
          <w:sz w:val="28"/>
          <w:szCs w:val="28"/>
        </w:rPr>
        <w:t>Figure 2</w:t>
      </w:r>
      <w:r>
        <w:rPr>
          <w:rFonts w:ascii="Arial" w:hAnsi="Arial" w:cs="Arial"/>
          <w:sz w:val="28"/>
          <w:szCs w:val="28"/>
        </w:rPr>
        <w:t xml:space="preserve">. </w:t>
      </w:r>
      <w:r w:rsidRPr="003C3547">
        <w:rPr>
          <w:rFonts w:ascii="Arial" w:hAnsi="Arial" w:cs="Arial"/>
        </w:rPr>
        <w:t xml:space="preserve">The empirical cumulative distribution of predicted probabilities for each of the six ensembles, for each of the groups. Each column corresponds to a preprocessing pipeline, in which the first two rows correspond to the GBM using that pipeline, and the second two the GLM. Each dot represents a subject, and their position along the x-axis is the predicted probability (of belonging to the early-adversity group) assigned by each ensemble. The length of the bar subsuming their point is the 95% CI interval based on the variability in their predicted probabilities generated by the 100 models in each ensemble. Bars are colored based on the predicted probability of the ensemble and correspond to the x-axis of each plot, where red indicates lower probability, blue is higher, and green is the midpoint. The y-axis is the cumulative density for the distribution of probabilities assigned by each model to each group. As such, the y-axis (also) ranges from 0 to 1, and reflects the quantiles associated with each predicted probability plotted on the x-axis, for each group. </w:t>
      </w:r>
    </w:p>
    <w:p w14:paraId="1513CCCB" w14:textId="3FC27F20" w:rsidR="00F24401" w:rsidRDefault="00F24401" w:rsidP="00DF4329">
      <w:pPr>
        <w:jc w:val="center"/>
        <w:rPr>
          <w:rFonts w:ascii="Arial" w:hAnsi="Arial" w:cs="Arial"/>
          <w:i/>
          <w:iCs/>
          <w:sz w:val="28"/>
          <w:szCs w:val="28"/>
        </w:rPr>
      </w:pPr>
    </w:p>
    <w:p w14:paraId="4942AF8E" w14:textId="38D782DC" w:rsidR="00D9778A" w:rsidRDefault="00D9778A" w:rsidP="00DF4329">
      <w:pPr>
        <w:jc w:val="center"/>
        <w:rPr>
          <w:rFonts w:ascii="Arial" w:hAnsi="Arial" w:cs="Arial"/>
          <w:i/>
          <w:iCs/>
          <w:sz w:val="28"/>
          <w:szCs w:val="28"/>
        </w:rPr>
      </w:pPr>
    </w:p>
    <w:p w14:paraId="63728479" w14:textId="0AE11681" w:rsidR="00D9778A" w:rsidRDefault="003C3547" w:rsidP="00F7743A">
      <w:pPr>
        <w:jc w:val="center"/>
        <w:rPr>
          <w:rFonts w:ascii="Arial" w:hAnsi="Arial" w:cs="Arial"/>
          <w:i/>
          <w:iCs/>
          <w:sz w:val="28"/>
          <w:szCs w:val="28"/>
        </w:rPr>
      </w:pPr>
      <w:r>
        <w:rPr>
          <w:rFonts w:ascii="Arial" w:hAnsi="Arial" w:cs="Arial"/>
          <w:noProof/>
          <w:sz w:val="28"/>
          <w:szCs w:val="28"/>
        </w:rPr>
        <w:lastRenderedPageBreak/>
        <w:drawing>
          <wp:inline distT="0" distB="0" distL="0" distR="0" wp14:anchorId="05FB2A30" wp14:editId="50013CD7">
            <wp:extent cx="6733151" cy="4897120"/>
            <wp:effectExtent l="0" t="0" r="0" b="508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753857" cy="4912180"/>
                    </a:xfrm>
                    <a:prstGeom prst="rect">
                      <a:avLst/>
                    </a:prstGeom>
                  </pic:spPr>
                </pic:pic>
              </a:graphicData>
            </a:graphic>
          </wp:inline>
        </w:drawing>
      </w:r>
    </w:p>
    <w:p w14:paraId="13C91F46" w14:textId="5599B638" w:rsidR="005970AD" w:rsidRDefault="00F7743A" w:rsidP="005970AD">
      <w:pPr>
        <w:ind w:firstLine="720"/>
        <w:rPr>
          <w:rFonts w:ascii="Arial" w:hAnsi="Arial" w:cs="Arial"/>
          <w:sz w:val="28"/>
          <w:szCs w:val="28"/>
        </w:rPr>
      </w:pPr>
      <w:r>
        <w:rPr>
          <w:rFonts w:ascii="Arial" w:hAnsi="Arial" w:cs="Arial"/>
          <w:b/>
          <w:bCs/>
          <w:sz w:val="28"/>
          <w:szCs w:val="28"/>
        </w:rPr>
        <w:t xml:space="preserve">Figure </w:t>
      </w:r>
      <w:r>
        <w:rPr>
          <w:rFonts w:ascii="Arial" w:hAnsi="Arial" w:cs="Arial"/>
          <w:b/>
          <w:bCs/>
          <w:sz w:val="28"/>
          <w:szCs w:val="28"/>
        </w:rPr>
        <w:t>3</w:t>
      </w:r>
      <w:r>
        <w:rPr>
          <w:rFonts w:ascii="Arial" w:hAnsi="Arial" w:cs="Arial"/>
          <w:sz w:val="28"/>
          <w:szCs w:val="28"/>
        </w:rPr>
        <w:t xml:space="preserve">. </w:t>
      </w:r>
      <w:r w:rsidRPr="00DE4589">
        <w:rPr>
          <w:rFonts w:ascii="Arial" w:hAnsi="Arial" w:cs="Arial"/>
        </w:rPr>
        <w:t xml:space="preserve">The plot contains </w:t>
      </w:r>
      <w:proofErr w:type="gramStart"/>
      <w:r w:rsidRPr="00DE4589">
        <w:rPr>
          <w:rFonts w:ascii="Arial" w:hAnsi="Arial" w:cs="Arial"/>
        </w:rPr>
        <w:t>12 point</w:t>
      </w:r>
      <w:proofErr w:type="gramEnd"/>
      <w:r w:rsidRPr="00DE4589">
        <w:rPr>
          <w:rFonts w:ascii="Arial" w:hAnsi="Arial" w:cs="Arial"/>
        </w:rPr>
        <w:t xml:space="preserve"> clouds/boxplots (positioned in 6 cells), in which points are </w:t>
      </w:r>
      <w:r>
        <w:rPr>
          <w:rFonts w:ascii="Arial" w:hAnsi="Arial" w:cs="Arial"/>
        </w:rPr>
        <w:t>Kolmogorov-Smirnov test statistics. V</w:t>
      </w:r>
      <w:r w:rsidRPr="00DE4589">
        <w:rPr>
          <w:rFonts w:ascii="Arial" w:hAnsi="Arial" w:cs="Arial"/>
        </w:rPr>
        <w:t>alues plotted on a y-axis ranging from around .</w:t>
      </w:r>
      <w:r>
        <w:rPr>
          <w:rFonts w:ascii="Arial" w:hAnsi="Arial" w:cs="Arial"/>
        </w:rPr>
        <w:t>2</w:t>
      </w:r>
      <w:r w:rsidRPr="00DE4589">
        <w:rPr>
          <w:rFonts w:ascii="Arial" w:hAnsi="Arial" w:cs="Arial"/>
        </w:rPr>
        <w:t xml:space="preserve"> to .</w:t>
      </w:r>
      <w:r>
        <w:rPr>
          <w:rFonts w:ascii="Arial" w:hAnsi="Arial" w:cs="Arial"/>
        </w:rPr>
        <w:t>65</w:t>
      </w:r>
      <w:r w:rsidRPr="00DE4589">
        <w:rPr>
          <w:rFonts w:ascii="Arial" w:hAnsi="Arial" w:cs="Arial"/>
        </w:rPr>
        <w:t xml:space="preserve">. The </w:t>
      </w:r>
      <w:proofErr w:type="gramStart"/>
      <w:r w:rsidRPr="00DE4589">
        <w:rPr>
          <w:rFonts w:ascii="Arial" w:hAnsi="Arial" w:cs="Arial"/>
        </w:rPr>
        <w:t>6 point</w:t>
      </w:r>
      <w:proofErr w:type="gramEnd"/>
      <w:r w:rsidRPr="00DE4589">
        <w:rPr>
          <w:rFonts w:ascii="Arial" w:hAnsi="Arial" w:cs="Arial"/>
        </w:rPr>
        <w:t xml:space="preserve"> clouds on the top row (in the top 3 cells) correspond to the 6 final </w:t>
      </w:r>
      <w:r w:rsidR="005970AD">
        <w:rPr>
          <w:rFonts w:ascii="Arial" w:hAnsi="Arial" w:cs="Arial"/>
        </w:rPr>
        <w:t>KS statistics</w:t>
      </w:r>
      <w:r w:rsidRPr="00DE4589">
        <w:rPr>
          <w:rFonts w:ascii="Arial" w:hAnsi="Arial" w:cs="Arial"/>
        </w:rPr>
        <w:t xml:space="preserve"> derived from averaging the predicted probabilities for each subject</w:t>
      </w:r>
      <w:r w:rsidR="005970AD">
        <w:rPr>
          <w:rFonts w:ascii="Arial" w:hAnsi="Arial" w:cs="Arial"/>
        </w:rPr>
        <w:t xml:space="preserve"> from the 100 models in each ensemble</w:t>
      </w:r>
      <w:r w:rsidRPr="00DE4589">
        <w:rPr>
          <w:rFonts w:ascii="Arial" w:hAnsi="Arial" w:cs="Arial"/>
        </w:rPr>
        <w:t xml:space="preserve">, and then calculating </w:t>
      </w:r>
      <w:r w:rsidR="005970AD">
        <w:rPr>
          <w:rFonts w:ascii="Arial" w:hAnsi="Arial" w:cs="Arial"/>
        </w:rPr>
        <w:t>the KS statistic</w:t>
      </w:r>
      <w:r w:rsidRPr="00DE4589">
        <w:rPr>
          <w:rFonts w:ascii="Arial" w:hAnsi="Arial" w:cs="Arial"/>
        </w:rPr>
        <w:t xml:space="preserve"> one time</w:t>
      </w:r>
      <w:r w:rsidR="005970AD">
        <w:rPr>
          <w:rFonts w:ascii="Arial" w:hAnsi="Arial" w:cs="Arial"/>
        </w:rPr>
        <w:t xml:space="preserve"> for each</w:t>
      </w:r>
      <w:r w:rsidRPr="00DE4589">
        <w:rPr>
          <w:rFonts w:ascii="Arial" w:hAnsi="Arial" w:cs="Arial"/>
        </w:rPr>
        <w:t xml:space="preserve">. </w:t>
      </w:r>
      <w:r w:rsidR="005970AD" w:rsidRPr="00DE4589">
        <w:rPr>
          <w:rFonts w:ascii="Arial" w:hAnsi="Arial" w:cs="Arial"/>
        </w:rPr>
        <w:t>The</w:t>
      </w:r>
      <w:r w:rsidR="005970AD">
        <w:rPr>
          <w:rFonts w:ascii="Arial" w:hAnsi="Arial" w:cs="Arial"/>
        </w:rPr>
        <w:t xml:space="preserve"> encoloured</w:t>
      </w:r>
      <w:r w:rsidR="005970AD" w:rsidRPr="00DE4589">
        <w:rPr>
          <w:rFonts w:ascii="Arial" w:hAnsi="Arial" w:cs="Arial"/>
        </w:rPr>
        <w:t xml:space="preserve"> point clouds are derived from bootstrap</w:t>
      </w:r>
      <w:r w:rsidR="005970AD">
        <w:rPr>
          <w:rFonts w:ascii="Arial" w:hAnsi="Arial" w:cs="Arial"/>
        </w:rPr>
        <w:t xml:space="preserve"> resampling the 100 models of each ensemble, recomputing the averaged</w:t>
      </w:r>
      <w:r w:rsidR="005970AD" w:rsidRPr="00DE4589">
        <w:rPr>
          <w:rFonts w:ascii="Arial" w:hAnsi="Arial" w:cs="Arial"/>
        </w:rPr>
        <w:t xml:space="preserve"> </w:t>
      </w:r>
      <w:r w:rsidR="005970AD">
        <w:rPr>
          <w:rFonts w:ascii="Arial" w:hAnsi="Arial" w:cs="Arial"/>
        </w:rPr>
        <w:t xml:space="preserve">predicted probabilities and corresponding </w:t>
      </w:r>
      <w:r w:rsidR="005970AD">
        <w:rPr>
          <w:rFonts w:ascii="Arial" w:hAnsi="Arial" w:cs="Arial"/>
        </w:rPr>
        <w:t>KS statistic</w:t>
      </w:r>
      <w:r w:rsidR="005970AD">
        <w:rPr>
          <w:rFonts w:ascii="Arial" w:hAnsi="Arial" w:cs="Arial"/>
        </w:rPr>
        <w:t>, 1000 times. T</w:t>
      </w:r>
      <w:r w:rsidR="005970AD" w:rsidRPr="00DE4589">
        <w:rPr>
          <w:rFonts w:ascii="Arial" w:hAnsi="Arial" w:cs="Arial"/>
        </w:rPr>
        <w:t>he grey point cloud is the permuted null distribution used to compute the p-value for the 6</w:t>
      </w:r>
      <w:r w:rsidR="005970AD">
        <w:rPr>
          <w:rFonts w:ascii="Arial" w:hAnsi="Arial" w:cs="Arial"/>
        </w:rPr>
        <w:t xml:space="preserve"> observed</w:t>
      </w:r>
      <w:r w:rsidR="005970AD" w:rsidRPr="00DE4589">
        <w:rPr>
          <w:rFonts w:ascii="Arial" w:hAnsi="Arial" w:cs="Arial"/>
        </w:rPr>
        <w:t xml:space="preserve"> values. For a deeper </w:t>
      </w:r>
      <w:r w:rsidR="005970AD">
        <w:rPr>
          <w:rFonts w:ascii="Arial" w:hAnsi="Arial" w:cs="Arial"/>
        </w:rPr>
        <w:t>a</w:t>
      </w:r>
      <w:r w:rsidR="005970AD" w:rsidRPr="00DE4589">
        <w:rPr>
          <w:rFonts w:ascii="Arial" w:hAnsi="Arial" w:cs="Arial"/>
        </w:rPr>
        <w:t xml:space="preserve">nalysis of the certainty </w:t>
      </w:r>
      <w:r w:rsidR="005970AD">
        <w:rPr>
          <w:rFonts w:ascii="Arial" w:hAnsi="Arial" w:cs="Arial"/>
        </w:rPr>
        <w:t>and invariance</w:t>
      </w:r>
      <w:r w:rsidR="005970AD" w:rsidRPr="00DE4589">
        <w:rPr>
          <w:rFonts w:ascii="Arial" w:hAnsi="Arial" w:cs="Arial"/>
        </w:rPr>
        <w:t xml:space="preserve"> across the 100 iterations of cross-validation separately, we calculate </w:t>
      </w:r>
      <w:r w:rsidR="005970AD">
        <w:rPr>
          <w:rFonts w:ascii="Arial" w:hAnsi="Arial" w:cs="Arial"/>
        </w:rPr>
        <w:t>the KS statistic</w:t>
      </w:r>
      <w:r w:rsidR="005970AD" w:rsidRPr="00DE4589">
        <w:rPr>
          <w:rFonts w:ascii="Arial" w:hAnsi="Arial" w:cs="Arial"/>
        </w:rPr>
        <w:t xml:space="preserve"> </w:t>
      </w:r>
      <w:r w:rsidR="005970AD" w:rsidRPr="00DE4589">
        <w:rPr>
          <w:rFonts w:ascii="Arial" w:hAnsi="Arial" w:cs="Arial"/>
          <w:i/>
          <w:iCs/>
        </w:rPr>
        <w:t>before</w:t>
      </w:r>
      <w:r w:rsidR="005970AD" w:rsidRPr="00DE4589">
        <w:rPr>
          <w:rFonts w:ascii="Arial" w:hAnsi="Arial" w:cs="Arial"/>
        </w:rPr>
        <w:t xml:space="preserve"> averaging predictions (100 distinct times) for each of the 6 </w:t>
      </w:r>
      <w:proofErr w:type="gramStart"/>
      <w:r w:rsidR="005970AD">
        <w:rPr>
          <w:rFonts w:ascii="Arial" w:hAnsi="Arial" w:cs="Arial"/>
        </w:rPr>
        <w:t>ensembles</w:t>
      </w:r>
      <w:r w:rsidR="005970AD" w:rsidRPr="00DE4589">
        <w:rPr>
          <w:rFonts w:ascii="Arial" w:hAnsi="Arial" w:cs="Arial"/>
        </w:rPr>
        <w:t>, and</w:t>
      </w:r>
      <w:proofErr w:type="gramEnd"/>
      <w:r w:rsidR="005970AD" w:rsidRPr="00DE4589">
        <w:rPr>
          <w:rFonts w:ascii="Arial" w:hAnsi="Arial" w:cs="Arial"/>
        </w:rPr>
        <w:t xml:space="preserve"> plot the resulting 100-point cloud and boxplot in the bottom row (bottom 3 cells) for each of the 6 model-type by preprocessing-type combinations. Each column (and color) pertains to a different preprocessing pipeline, while within each cell, the cloud/boxplot on the left correspond</w:t>
      </w:r>
      <w:r w:rsidR="005970AD">
        <w:rPr>
          <w:rFonts w:ascii="Arial" w:hAnsi="Arial" w:cs="Arial"/>
        </w:rPr>
        <w:t>s</w:t>
      </w:r>
      <w:r w:rsidR="005970AD" w:rsidRPr="00DE4589">
        <w:rPr>
          <w:rFonts w:ascii="Arial" w:hAnsi="Arial" w:cs="Arial"/>
        </w:rPr>
        <w:t xml:space="preserve"> to </w:t>
      </w:r>
      <w:r w:rsidR="005970AD">
        <w:rPr>
          <w:rFonts w:ascii="Arial" w:hAnsi="Arial" w:cs="Arial"/>
        </w:rPr>
        <w:t>the GBM models and ensemble and those on the right pertain to the GLM models and ensemble</w:t>
      </w:r>
      <w:r w:rsidR="005970AD" w:rsidRPr="00DE4589">
        <w:rPr>
          <w:rFonts w:ascii="Arial" w:hAnsi="Arial" w:cs="Arial"/>
        </w:rPr>
        <w:t>. Red lines reflect 95% confidence intervals</w:t>
      </w:r>
      <w:r w:rsidR="005970AD">
        <w:rPr>
          <w:rFonts w:ascii="Arial" w:hAnsi="Arial" w:cs="Arial"/>
        </w:rPr>
        <w:t>, based either on bootstrap standard error (top row, encoloured point clouds), or span the empirical 5</w:t>
      </w:r>
      <w:r w:rsidR="005970AD" w:rsidRPr="005970AD">
        <w:rPr>
          <w:rFonts w:ascii="Arial" w:hAnsi="Arial" w:cs="Arial"/>
          <w:vertAlign w:val="superscript"/>
        </w:rPr>
        <w:t>th</w:t>
      </w:r>
      <w:r w:rsidR="005970AD">
        <w:rPr>
          <w:rFonts w:ascii="Arial" w:hAnsi="Arial" w:cs="Arial"/>
        </w:rPr>
        <w:t xml:space="preserve"> to 95</w:t>
      </w:r>
      <w:r w:rsidR="005970AD" w:rsidRPr="005970AD">
        <w:rPr>
          <w:rFonts w:ascii="Arial" w:hAnsi="Arial" w:cs="Arial"/>
          <w:vertAlign w:val="superscript"/>
        </w:rPr>
        <w:t>th</w:t>
      </w:r>
      <w:r w:rsidR="005970AD">
        <w:rPr>
          <w:rFonts w:ascii="Arial" w:hAnsi="Arial" w:cs="Arial"/>
        </w:rPr>
        <w:t xml:space="preserve"> quantiles (for the null and individual-fold distributions).</w:t>
      </w:r>
    </w:p>
    <w:p w14:paraId="3433D548" w14:textId="25C17EFF" w:rsidR="00D9778A" w:rsidRDefault="00D9778A" w:rsidP="005970AD">
      <w:pPr>
        <w:ind w:firstLine="720"/>
        <w:rPr>
          <w:rFonts w:ascii="Arial" w:hAnsi="Arial" w:cs="Arial"/>
          <w:i/>
          <w:iCs/>
          <w:sz w:val="28"/>
          <w:szCs w:val="28"/>
        </w:rPr>
      </w:pPr>
    </w:p>
    <w:p w14:paraId="519F65A9" w14:textId="1C96B068" w:rsidR="00907245" w:rsidRDefault="00907245" w:rsidP="005970AD">
      <w:pPr>
        <w:jc w:val="center"/>
        <w:rPr>
          <w:rFonts w:ascii="Arial" w:hAnsi="Arial" w:cs="Arial"/>
          <w:i/>
          <w:iCs/>
          <w:sz w:val="28"/>
          <w:szCs w:val="28"/>
        </w:rPr>
      </w:pPr>
      <w:r>
        <w:rPr>
          <w:rFonts w:ascii="Arial" w:hAnsi="Arial" w:cs="Arial"/>
          <w:i/>
          <w:iCs/>
          <w:sz w:val="28"/>
          <w:szCs w:val="28"/>
        </w:rPr>
        <w:t xml:space="preserve">Discovery of </w:t>
      </w:r>
      <w:r w:rsidR="00DF4329">
        <w:rPr>
          <w:rFonts w:ascii="Arial" w:hAnsi="Arial" w:cs="Arial"/>
          <w:i/>
          <w:iCs/>
          <w:sz w:val="28"/>
          <w:szCs w:val="28"/>
        </w:rPr>
        <w:t>Meaningful Subcortical Predictors via Ensemble Importance</w:t>
      </w:r>
      <w:r w:rsidR="005970AD">
        <w:rPr>
          <w:rFonts w:ascii="Arial" w:hAnsi="Arial" w:cs="Arial"/>
          <w:i/>
          <w:iCs/>
          <w:sz w:val="28"/>
          <w:szCs w:val="28"/>
        </w:rPr>
        <w:br/>
      </w:r>
    </w:p>
    <w:p w14:paraId="2B2B36DD" w14:textId="15714B1D" w:rsidR="005970AD" w:rsidRDefault="005970AD" w:rsidP="005970AD">
      <w:pPr>
        <w:ind w:firstLine="720"/>
        <w:rPr>
          <w:rFonts w:ascii="Arial" w:hAnsi="Arial" w:cs="Arial"/>
          <w:sz w:val="28"/>
          <w:szCs w:val="28"/>
        </w:rPr>
      </w:pPr>
      <w:r>
        <w:rPr>
          <w:rFonts w:ascii="Arial" w:hAnsi="Arial" w:cs="Arial"/>
          <w:sz w:val="28"/>
          <w:szCs w:val="28"/>
        </w:rPr>
        <w:t>To evaluate which subcortical volumes were most important</w:t>
      </w:r>
      <w:r w:rsidR="00C93162">
        <w:rPr>
          <w:rFonts w:ascii="Arial" w:hAnsi="Arial" w:cs="Arial"/>
          <w:sz w:val="28"/>
          <w:szCs w:val="28"/>
        </w:rPr>
        <w:t xml:space="preserve"> and generalizable for decoding the impact of early-adversity on subcortical brain volume, we computed the quantified the contribution that each variable made to the performance of each </w:t>
      </w:r>
      <w:r w:rsidR="00C93162">
        <w:rPr>
          <w:rFonts w:ascii="Arial" w:hAnsi="Arial" w:cs="Arial"/>
          <w:sz w:val="28"/>
          <w:szCs w:val="28"/>
        </w:rPr>
        <w:lastRenderedPageBreak/>
        <w:t>ensemble (ensemble importance; EI).</w:t>
      </w:r>
      <w:r w:rsidR="00B37C46">
        <w:rPr>
          <w:rFonts w:ascii="Arial" w:hAnsi="Arial" w:cs="Arial"/>
          <w:sz w:val="28"/>
          <w:szCs w:val="28"/>
        </w:rPr>
        <w:t xml:space="preserve"> The EI of each variable is the percent by which the ensemble ROCAUC (computed with the test data) is affected by replacing a variable with noise. The variable is replaced with noise (in the test data) and the predictions of each model in the entire ensemble are recomputed, the averaged vector of predicted probabilities </w:t>
      </w:r>
      <w:proofErr w:type="gramStart"/>
      <w:r w:rsidR="00B37C46">
        <w:rPr>
          <w:rFonts w:ascii="Arial" w:hAnsi="Arial" w:cs="Arial"/>
          <w:sz w:val="28"/>
          <w:szCs w:val="28"/>
        </w:rPr>
        <w:t>are</w:t>
      </w:r>
      <w:proofErr w:type="gramEnd"/>
      <w:r w:rsidR="00B37C46">
        <w:rPr>
          <w:rFonts w:ascii="Arial" w:hAnsi="Arial" w:cs="Arial"/>
          <w:sz w:val="28"/>
          <w:szCs w:val="28"/>
        </w:rPr>
        <w:t xml:space="preserve"> recalculated, and the ensemble ROCAUC is again assessed. This is repeated for each variable, and for each ensemble. To assess the significance of such values, the process is repeated 1000 times for each variable in each ensemble after first also randomly permuting the group labels in the validation population.</w:t>
      </w:r>
    </w:p>
    <w:p w14:paraId="3C4EB559" w14:textId="7F163CB4" w:rsidR="00DE4589" w:rsidRPr="00DF4329" w:rsidRDefault="005F67D7" w:rsidP="005970AD">
      <w:pPr>
        <w:ind w:firstLine="720"/>
        <w:rPr>
          <w:rFonts w:ascii="Arial" w:hAnsi="Arial" w:cs="Arial"/>
          <w:sz w:val="28"/>
          <w:szCs w:val="28"/>
        </w:rPr>
      </w:pPr>
      <w:r>
        <w:rPr>
          <w:rFonts w:ascii="Arial" w:hAnsi="Arial" w:cs="Arial"/>
          <w:i/>
          <w:iCs/>
          <w:noProof/>
          <w:sz w:val="28"/>
          <w:szCs w:val="28"/>
        </w:rPr>
        <w:drawing>
          <wp:anchor distT="0" distB="0" distL="114300" distR="114300" simplePos="0" relativeHeight="251659264" behindDoc="0" locked="0" layoutInCell="1" allowOverlap="1" wp14:anchorId="28EBBD53" wp14:editId="5B974A09">
            <wp:simplePos x="0" y="0"/>
            <wp:positionH relativeFrom="column">
              <wp:posOffset>-398780</wp:posOffset>
            </wp:positionH>
            <wp:positionV relativeFrom="paragraph">
              <wp:posOffset>2000250</wp:posOffset>
            </wp:positionV>
            <wp:extent cx="7620000" cy="4155440"/>
            <wp:effectExtent l="0" t="0" r="0" b="0"/>
            <wp:wrapTopAndBottom/>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620000" cy="4155440"/>
                    </a:xfrm>
                    <a:prstGeom prst="rect">
                      <a:avLst/>
                    </a:prstGeom>
                  </pic:spPr>
                </pic:pic>
              </a:graphicData>
            </a:graphic>
            <wp14:sizeRelH relativeFrom="page">
              <wp14:pctWidth>0</wp14:pctWidth>
            </wp14:sizeRelH>
            <wp14:sizeRelV relativeFrom="page">
              <wp14:pctHeight>0</wp14:pctHeight>
            </wp14:sizeRelV>
          </wp:anchor>
        </w:drawing>
      </w:r>
      <w:r w:rsidR="00B37C46">
        <w:rPr>
          <w:rFonts w:ascii="Arial" w:hAnsi="Arial" w:cs="Arial"/>
          <w:sz w:val="28"/>
          <w:szCs w:val="28"/>
        </w:rPr>
        <w:t xml:space="preserve">As shown in Figure 4, </w:t>
      </w:r>
      <w:r w:rsidR="00DF4329">
        <w:rPr>
          <w:rFonts w:ascii="Arial" w:hAnsi="Arial" w:cs="Arial"/>
          <w:sz w:val="28"/>
          <w:szCs w:val="28"/>
        </w:rPr>
        <w:t xml:space="preserve">In all 5 of the 6 </w:t>
      </w:r>
      <w:r w:rsidR="00B37C46">
        <w:rPr>
          <w:rFonts w:ascii="Arial" w:hAnsi="Arial" w:cs="Arial"/>
          <w:sz w:val="28"/>
          <w:szCs w:val="28"/>
        </w:rPr>
        <w:t xml:space="preserve">ensembles that generated </w:t>
      </w:r>
      <w:r w:rsidR="00DF4329">
        <w:rPr>
          <w:rFonts w:ascii="Arial" w:hAnsi="Arial" w:cs="Arial"/>
          <w:sz w:val="28"/>
          <w:szCs w:val="28"/>
        </w:rPr>
        <w:t xml:space="preserve">statistically significant </w:t>
      </w:r>
      <w:r w:rsidR="00B37C46">
        <w:rPr>
          <w:rFonts w:ascii="Arial" w:hAnsi="Arial" w:cs="Arial"/>
          <w:sz w:val="28"/>
          <w:szCs w:val="28"/>
        </w:rPr>
        <w:t>ROCAUC</w:t>
      </w:r>
      <w:r w:rsidR="00DF4329">
        <w:rPr>
          <w:rFonts w:ascii="Arial" w:hAnsi="Arial" w:cs="Arial"/>
          <w:sz w:val="28"/>
          <w:szCs w:val="28"/>
        </w:rPr>
        <w:t xml:space="preserve">, the left hippocampus </w:t>
      </w:r>
      <w:r w:rsidR="00B37C46">
        <w:rPr>
          <w:rFonts w:ascii="Arial" w:hAnsi="Arial" w:cs="Arial"/>
          <w:sz w:val="28"/>
          <w:szCs w:val="28"/>
        </w:rPr>
        <w:t>emerged as</w:t>
      </w:r>
      <w:r w:rsidR="00DF4329">
        <w:rPr>
          <w:rFonts w:ascii="Arial" w:hAnsi="Arial" w:cs="Arial"/>
          <w:sz w:val="28"/>
          <w:szCs w:val="28"/>
        </w:rPr>
        <w:t xml:space="preserve"> the strongest predictor of group labels, and the left caudate the second-most predictive variable</w:t>
      </w:r>
      <w:r w:rsidR="00B37C46">
        <w:rPr>
          <w:rFonts w:ascii="Arial" w:hAnsi="Arial" w:cs="Arial"/>
          <w:sz w:val="28"/>
          <w:szCs w:val="28"/>
        </w:rPr>
        <w:t xml:space="preserve"> with the largest and </w:t>
      </w:r>
      <w:proofErr w:type="gramStart"/>
      <w:r w:rsidR="00B37C46">
        <w:rPr>
          <w:rFonts w:ascii="Arial" w:hAnsi="Arial" w:cs="Arial"/>
          <w:sz w:val="28"/>
          <w:szCs w:val="28"/>
        </w:rPr>
        <w:t>second-largest</w:t>
      </w:r>
      <w:proofErr w:type="gramEnd"/>
      <w:r w:rsidR="00B37C46">
        <w:rPr>
          <w:rFonts w:ascii="Arial" w:hAnsi="Arial" w:cs="Arial"/>
          <w:sz w:val="28"/>
          <w:szCs w:val="28"/>
        </w:rPr>
        <w:t xml:space="preserve"> EI, respectively</w:t>
      </w:r>
      <w:r w:rsidR="00DF4329">
        <w:rPr>
          <w:rFonts w:ascii="Arial" w:hAnsi="Arial" w:cs="Arial"/>
          <w:sz w:val="28"/>
          <w:szCs w:val="28"/>
        </w:rPr>
        <w:t>. In permutation tests, these two variables are significant at an alpha level of .05</w:t>
      </w:r>
      <w:r w:rsidR="00B37C46">
        <w:rPr>
          <w:rFonts w:ascii="Arial" w:hAnsi="Arial" w:cs="Arial"/>
          <w:sz w:val="28"/>
          <w:szCs w:val="28"/>
        </w:rPr>
        <w:t xml:space="preserve"> in all such models</w:t>
      </w:r>
      <w:r w:rsidR="00630EE8">
        <w:rPr>
          <w:rFonts w:ascii="Arial" w:hAnsi="Arial" w:cs="Arial"/>
          <w:sz w:val="28"/>
          <w:szCs w:val="28"/>
        </w:rPr>
        <w:t>. Together this demonstrates the robustness of these predictors in hypothesis- and data-driven contexts</w:t>
      </w:r>
      <w:r w:rsidR="00B37C46">
        <w:rPr>
          <w:rFonts w:ascii="Arial" w:hAnsi="Arial" w:cs="Arial"/>
          <w:sz w:val="28"/>
          <w:szCs w:val="28"/>
        </w:rPr>
        <w:t>, in which statistical significance is inferred from accurate model generalization</w:t>
      </w:r>
      <w:r w:rsidR="00630EE8">
        <w:rPr>
          <w:rFonts w:ascii="Arial" w:hAnsi="Arial" w:cs="Arial"/>
          <w:sz w:val="28"/>
          <w:szCs w:val="28"/>
        </w:rPr>
        <w:t xml:space="preserve">. </w:t>
      </w:r>
      <w:r w:rsidR="00DE4589">
        <w:rPr>
          <w:rFonts w:ascii="Arial" w:hAnsi="Arial" w:cs="Arial"/>
          <w:sz w:val="28"/>
          <w:szCs w:val="28"/>
        </w:rPr>
        <w:t xml:space="preserve">Other variables that reliably accumulated </w:t>
      </w:r>
      <w:r w:rsidR="00B37C46">
        <w:rPr>
          <w:rFonts w:ascii="Arial" w:hAnsi="Arial" w:cs="Arial"/>
          <w:sz w:val="28"/>
          <w:szCs w:val="28"/>
        </w:rPr>
        <w:t>EI</w:t>
      </w:r>
      <w:r w:rsidR="00DE4589">
        <w:rPr>
          <w:rFonts w:ascii="Arial" w:hAnsi="Arial" w:cs="Arial"/>
          <w:sz w:val="28"/>
          <w:szCs w:val="28"/>
        </w:rPr>
        <w:t xml:space="preserve"> included the right ventral diencephalon, right </w:t>
      </w:r>
      <w:proofErr w:type="spellStart"/>
      <w:r w:rsidR="00DE4589">
        <w:rPr>
          <w:rFonts w:ascii="Arial" w:hAnsi="Arial" w:cs="Arial"/>
          <w:sz w:val="28"/>
          <w:szCs w:val="28"/>
        </w:rPr>
        <w:t>accumbens</w:t>
      </w:r>
      <w:proofErr w:type="spellEnd"/>
      <w:r w:rsidR="00DE4589">
        <w:rPr>
          <w:rFonts w:ascii="Arial" w:hAnsi="Arial" w:cs="Arial"/>
          <w:sz w:val="28"/>
          <w:szCs w:val="28"/>
        </w:rPr>
        <w:t>, left pallidum and right caudate.</w:t>
      </w:r>
    </w:p>
    <w:p w14:paraId="3F5A4F2F" w14:textId="672F5E69" w:rsidR="005970AD" w:rsidRDefault="005970AD" w:rsidP="005F67D7">
      <w:pPr>
        <w:rPr>
          <w:rFonts w:ascii="Arial" w:hAnsi="Arial" w:cs="Arial"/>
          <w:b/>
          <w:bCs/>
          <w:sz w:val="28"/>
          <w:szCs w:val="28"/>
        </w:rPr>
      </w:pPr>
    </w:p>
    <w:p w14:paraId="667BB437" w14:textId="0CABD06D" w:rsidR="00DF4329" w:rsidRDefault="000F6161" w:rsidP="00DF4329">
      <w:pPr>
        <w:ind w:firstLine="720"/>
        <w:rPr>
          <w:rFonts w:ascii="Arial" w:hAnsi="Arial" w:cs="Arial"/>
          <w:sz w:val="28"/>
          <w:szCs w:val="28"/>
        </w:rPr>
      </w:pPr>
      <w:r>
        <w:rPr>
          <w:rFonts w:ascii="Arial" w:hAnsi="Arial" w:cs="Arial"/>
          <w:b/>
          <w:bCs/>
          <w:sz w:val="28"/>
          <w:szCs w:val="28"/>
        </w:rPr>
        <w:t xml:space="preserve">Figure </w:t>
      </w:r>
      <w:r w:rsidR="00F21639">
        <w:rPr>
          <w:rFonts w:ascii="Arial" w:hAnsi="Arial" w:cs="Arial"/>
          <w:b/>
          <w:bCs/>
          <w:sz w:val="28"/>
          <w:szCs w:val="28"/>
        </w:rPr>
        <w:t>4</w:t>
      </w:r>
      <w:r>
        <w:rPr>
          <w:rFonts w:ascii="Arial" w:hAnsi="Arial" w:cs="Arial"/>
          <w:sz w:val="28"/>
          <w:szCs w:val="28"/>
        </w:rPr>
        <w:t xml:space="preserve">. </w:t>
      </w:r>
      <w:r w:rsidRPr="00DE4589">
        <w:rPr>
          <w:rFonts w:ascii="Arial" w:hAnsi="Arial" w:cs="Arial"/>
        </w:rPr>
        <w:t xml:space="preserve">The plot contains </w:t>
      </w:r>
      <w:r>
        <w:rPr>
          <w:rFonts w:ascii="Arial" w:hAnsi="Arial" w:cs="Arial"/>
        </w:rPr>
        <w:t>one cell for each of the 6 ensembles (model-type by preprocessing-type combinations)</w:t>
      </w:r>
      <w:r w:rsidRPr="00DE4589">
        <w:rPr>
          <w:rFonts w:ascii="Arial" w:hAnsi="Arial" w:cs="Arial"/>
        </w:rPr>
        <w:t>.</w:t>
      </w:r>
      <w:r>
        <w:rPr>
          <w:rFonts w:ascii="Arial" w:hAnsi="Arial" w:cs="Arial"/>
        </w:rPr>
        <w:t xml:space="preserve"> </w:t>
      </w:r>
      <w:r w:rsidR="00B37C46">
        <w:rPr>
          <w:rFonts w:ascii="Arial" w:hAnsi="Arial" w:cs="Arial"/>
        </w:rPr>
        <w:t xml:space="preserve">Color-coding corresponds to the preprocessing pipeline, while the top row of plots </w:t>
      </w:r>
      <w:proofErr w:type="gramStart"/>
      <w:r w:rsidR="00B37C46">
        <w:rPr>
          <w:rFonts w:ascii="Arial" w:hAnsi="Arial" w:cs="Arial"/>
        </w:rPr>
        <w:t>pertain</w:t>
      </w:r>
      <w:proofErr w:type="gramEnd"/>
      <w:r w:rsidR="00B37C46">
        <w:rPr>
          <w:rFonts w:ascii="Arial" w:hAnsi="Arial" w:cs="Arial"/>
        </w:rPr>
        <w:t xml:space="preserve"> to the GBM ensembles, and the GLM ensembles for the same preprocessing pipeline plotted directly below. The x-axis plots the percent, </w:t>
      </w:r>
      <w:r w:rsidR="00A215CD">
        <w:rPr>
          <w:rFonts w:ascii="Arial" w:hAnsi="Arial" w:cs="Arial"/>
        </w:rPr>
        <w:t>positively or negatively</w:t>
      </w:r>
      <w:r w:rsidR="00B37C46">
        <w:rPr>
          <w:rFonts w:ascii="Arial" w:hAnsi="Arial" w:cs="Arial"/>
        </w:rPr>
        <w:t xml:space="preserve">, by which the </w:t>
      </w:r>
      <w:r w:rsidR="00A215CD">
        <w:rPr>
          <w:rFonts w:ascii="Arial" w:hAnsi="Arial" w:cs="Arial"/>
        </w:rPr>
        <w:t xml:space="preserve">ROCAUC of the ensemble computed in the validation population changes after randomly permuting </w:t>
      </w:r>
      <w:r w:rsidR="00A215CD">
        <w:rPr>
          <w:rFonts w:ascii="Arial" w:hAnsi="Arial" w:cs="Arial"/>
        </w:rPr>
        <w:lastRenderedPageBreak/>
        <w:t>each variable separately. The grey point cloud shows the null distribution for each variable’s EI, computed after also permuting the validation population group labels 1000 times. Opacity spans from 0% to 100% and is directly inversely proportional to the right-tailed permutation p-value for each variable’s observed EI. If an EI for a variable exceeded 99%, 95%, or 90% of its null values it is demarcated with an asterisk, plus sign, or superscript punctuation, respectively.</w:t>
      </w:r>
    </w:p>
    <w:sectPr w:rsidR="00DF4329" w:rsidSect="00CA643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BE6"/>
    <w:rsid w:val="000019BF"/>
    <w:rsid w:val="000F121A"/>
    <w:rsid w:val="000F6161"/>
    <w:rsid w:val="00132923"/>
    <w:rsid w:val="001D758F"/>
    <w:rsid w:val="0027445F"/>
    <w:rsid w:val="00301172"/>
    <w:rsid w:val="003C3547"/>
    <w:rsid w:val="00451204"/>
    <w:rsid w:val="00486553"/>
    <w:rsid w:val="004E0B8C"/>
    <w:rsid w:val="004E213F"/>
    <w:rsid w:val="00573BE6"/>
    <w:rsid w:val="00593004"/>
    <w:rsid w:val="005970AD"/>
    <w:rsid w:val="005F67D7"/>
    <w:rsid w:val="00630EE8"/>
    <w:rsid w:val="0063236F"/>
    <w:rsid w:val="00654255"/>
    <w:rsid w:val="00863F68"/>
    <w:rsid w:val="00884187"/>
    <w:rsid w:val="00907245"/>
    <w:rsid w:val="009F2F28"/>
    <w:rsid w:val="00A215CD"/>
    <w:rsid w:val="00A67298"/>
    <w:rsid w:val="00B37C46"/>
    <w:rsid w:val="00C93162"/>
    <w:rsid w:val="00CA6436"/>
    <w:rsid w:val="00D17C78"/>
    <w:rsid w:val="00D9778A"/>
    <w:rsid w:val="00DE4589"/>
    <w:rsid w:val="00DF4329"/>
    <w:rsid w:val="00F21639"/>
    <w:rsid w:val="00F24401"/>
    <w:rsid w:val="00F77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A061E"/>
  <w15:chartTrackingRefBased/>
  <w15:docId w15:val="{0BF9118C-B289-6E49-ACA9-3EB6D326C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6</Pages>
  <Words>1562</Words>
  <Characters>8910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Ian J</dc:creator>
  <cp:keywords/>
  <dc:description/>
  <cp:lastModifiedBy>Douglas, Ian J</cp:lastModifiedBy>
  <cp:revision>15</cp:revision>
  <dcterms:created xsi:type="dcterms:W3CDTF">2021-01-16T15:50:00Z</dcterms:created>
  <dcterms:modified xsi:type="dcterms:W3CDTF">2021-01-26T23:51:00Z</dcterms:modified>
</cp:coreProperties>
</file>