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EB013B" w14:textId="6DFDA7C7" w:rsidR="00B22B3A" w:rsidRDefault="00B22B3A">
      <w:pPr>
        <w:rPr>
          <w:rFonts w:ascii="Arial" w:hAnsi="Arial" w:cs="Arial"/>
          <w:sz w:val="28"/>
          <w:szCs w:val="28"/>
        </w:rPr>
      </w:pPr>
      <w:r>
        <w:rPr>
          <w:rFonts w:ascii="Arial" w:hAnsi="Arial" w:cs="Arial"/>
          <w:b/>
          <w:bCs/>
          <w:sz w:val="28"/>
          <w:szCs w:val="28"/>
        </w:rPr>
        <w:t>Introduction</w:t>
      </w:r>
      <w:r w:rsidRPr="00B22B3A">
        <w:rPr>
          <w:rFonts w:ascii="Arial" w:hAnsi="Arial" w:cs="Arial"/>
          <w:sz w:val="28"/>
          <w:szCs w:val="28"/>
        </w:rPr>
        <w:t xml:space="preserve"> (outline)</w:t>
      </w:r>
    </w:p>
    <w:p w14:paraId="371A6093" w14:textId="309754AD" w:rsidR="00B22B3A" w:rsidRDefault="00B22B3A" w:rsidP="00B22B3A">
      <w:pPr>
        <w:pStyle w:val="ListParagraph"/>
        <w:numPr>
          <w:ilvl w:val="0"/>
          <w:numId w:val="1"/>
        </w:numPr>
        <w:rPr>
          <w:rFonts w:ascii="Arial" w:hAnsi="Arial" w:cs="Arial"/>
          <w:sz w:val="28"/>
          <w:szCs w:val="28"/>
        </w:rPr>
      </w:pPr>
      <w:r>
        <w:rPr>
          <w:rFonts w:ascii="Arial" w:hAnsi="Arial" w:cs="Arial"/>
          <w:sz w:val="28"/>
          <w:szCs w:val="28"/>
        </w:rPr>
        <w:t xml:space="preserve">Efforts to replicate explanatory findings in psychology and neuroscience have </w:t>
      </w:r>
      <w:proofErr w:type="gramStart"/>
      <w:r>
        <w:rPr>
          <w:rFonts w:ascii="Arial" w:hAnsi="Arial" w:cs="Arial"/>
          <w:sz w:val="28"/>
          <w:szCs w:val="28"/>
        </w:rPr>
        <w:t>lead</w:t>
      </w:r>
      <w:proofErr w:type="gramEnd"/>
      <w:r>
        <w:rPr>
          <w:rFonts w:ascii="Arial" w:hAnsi="Arial" w:cs="Arial"/>
          <w:sz w:val="28"/>
          <w:szCs w:val="28"/>
        </w:rPr>
        <w:t xml:space="preserve"> to mixed results, through which some widely accepted theories have come into question</w:t>
      </w:r>
    </w:p>
    <w:p w14:paraId="55ACBB54" w14:textId="49CC5C42" w:rsidR="00602654" w:rsidRDefault="00B22B3A" w:rsidP="00B22B3A">
      <w:pPr>
        <w:pStyle w:val="ListParagraph"/>
        <w:numPr>
          <w:ilvl w:val="0"/>
          <w:numId w:val="1"/>
        </w:numPr>
        <w:rPr>
          <w:rFonts w:ascii="Arial" w:hAnsi="Arial" w:cs="Arial"/>
          <w:sz w:val="28"/>
          <w:szCs w:val="28"/>
        </w:rPr>
      </w:pPr>
      <w:r>
        <w:rPr>
          <w:rFonts w:ascii="Arial" w:hAnsi="Arial" w:cs="Arial"/>
          <w:sz w:val="28"/>
          <w:szCs w:val="28"/>
        </w:rPr>
        <w:t xml:space="preserve">One issue </w:t>
      </w:r>
      <w:r w:rsidR="00602654">
        <w:rPr>
          <w:rFonts w:ascii="Arial" w:hAnsi="Arial" w:cs="Arial"/>
          <w:sz w:val="28"/>
          <w:szCs w:val="28"/>
        </w:rPr>
        <w:t>is that the most common statistical methods in the fields have been unsuitable for many of the studies in which they are applied</w:t>
      </w:r>
    </w:p>
    <w:p w14:paraId="50D88766" w14:textId="77777777" w:rsidR="00602654" w:rsidRDefault="00602654" w:rsidP="00602654">
      <w:pPr>
        <w:pStyle w:val="ListParagraph"/>
        <w:numPr>
          <w:ilvl w:val="1"/>
          <w:numId w:val="1"/>
        </w:numPr>
        <w:rPr>
          <w:rFonts w:ascii="Arial" w:hAnsi="Arial" w:cs="Arial"/>
          <w:sz w:val="28"/>
          <w:szCs w:val="28"/>
        </w:rPr>
      </w:pPr>
      <w:r>
        <w:rPr>
          <w:rFonts w:ascii="Arial" w:hAnsi="Arial" w:cs="Arial"/>
          <w:sz w:val="28"/>
          <w:szCs w:val="28"/>
        </w:rPr>
        <w:t>Explanatory models are widely used to generate predictive conclusions</w:t>
      </w:r>
    </w:p>
    <w:p w14:paraId="20B86615" w14:textId="461CE3EB" w:rsidR="00B22B3A" w:rsidRDefault="00602654" w:rsidP="00602654">
      <w:pPr>
        <w:pStyle w:val="ListParagraph"/>
        <w:numPr>
          <w:ilvl w:val="1"/>
          <w:numId w:val="1"/>
        </w:numPr>
        <w:rPr>
          <w:rFonts w:ascii="Arial" w:hAnsi="Arial" w:cs="Arial"/>
          <w:sz w:val="28"/>
          <w:szCs w:val="28"/>
        </w:rPr>
      </w:pPr>
      <w:r>
        <w:rPr>
          <w:rFonts w:ascii="Arial" w:hAnsi="Arial" w:cs="Arial"/>
          <w:sz w:val="28"/>
          <w:szCs w:val="28"/>
        </w:rPr>
        <w:t>Predominantly linear parametric models miss non-linear and higher-order effects</w:t>
      </w:r>
    </w:p>
    <w:p w14:paraId="5D6085BC" w14:textId="63C99E20" w:rsidR="00602654" w:rsidRDefault="00602654" w:rsidP="00602654">
      <w:pPr>
        <w:pStyle w:val="ListParagraph"/>
        <w:numPr>
          <w:ilvl w:val="1"/>
          <w:numId w:val="1"/>
        </w:numPr>
        <w:rPr>
          <w:rFonts w:ascii="Arial" w:hAnsi="Arial" w:cs="Arial"/>
          <w:sz w:val="28"/>
          <w:szCs w:val="28"/>
        </w:rPr>
      </w:pPr>
      <w:r>
        <w:rPr>
          <w:rFonts w:ascii="Arial" w:hAnsi="Arial" w:cs="Arial"/>
          <w:sz w:val="28"/>
          <w:szCs w:val="28"/>
        </w:rPr>
        <w:t xml:space="preserve">The </w:t>
      </w:r>
      <w:proofErr w:type="gramStart"/>
      <w:r>
        <w:rPr>
          <w:rFonts w:ascii="Arial" w:hAnsi="Arial" w:cs="Arial"/>
          <w:sz w:val="28"/>
          <w:szCs w:val="28"/>
        </w:rPr>
        <w:t>high-dimensionality</w:t>
      </w:r>
      <w:proofErr w:type="gramEnd"/>
      <w:r>
        <w:rPr>
          <w:rFonts w:ascii="Arial" w:hAnsi="Arial" w:cs="Arial"/>
          <w:sz w:val="28"/>
          <w:szCs w:val="28"/>
        </w:rPr>
        <w:t xml:space="preserve"> that comes with fMRI can produce biased regression estimates</w:t>
      </w:r>
    </w:p>
    <w:p w14:paraId="48C41B80" w14:textId="37A3DA1C" w:rsidR="00602654" w:rsidRDefault="00602654" w:rsidP="00602654">
      <w:pPr>
        <w:pStyle w:val="ListParagraph"/>
        <w:numPr>
          <w:ilvl w:val="1"/>
          <w:numId w:val="1"/>
        </w:numPr>
        <w:rPr>
          <w:rFonts w:ascii="Arial" w:hAnsi="Arial" w:cs="Arial"/>
          <w:sz w:val="28"/>
          <w:szCs w:val="28"/>
        </w:rPr>
      </w:pPr>
      <w:r>
        <w:rPr>
          <w:rFonts w:ascii="Arial" w:hAnsi="Arial" w:cs="Arial"/>
          <w:sz w:val="28"/>
          <w:szCs w:val="28"/>
        </w:rPr>
        <w:t>(rebuttal) Though, simple parametric models are effective in the context of small datasets that has been most often the norm in due to resources</w:t>
      </w:r>
    </w:p>
    <w:p w14:paraId="23F34295" w14:textId="6331929E" w:rsidR="00602654" w:rsidRDefault="00602654" w:rsidP="00602654">
      <w:pPr>
        <w:pStyle w:val="ListParagraph"/>
        <w:numPr>
          <w:ilvl w:val="0"/>
          <w:numId w:val="1"/>
        </w:numPr>
        <w:rPr>
          <w:rFonts w:ascii="Arial" w:hAnsi="Arial" w:cs="Arial"/>
          <w:sz w:val="28"/>
          <w:szCs w:val="28"/>
        </w:rPr>
      </w:pPr>
      <w:r>
        <w:rPr>
          <w:rFonts w:ascii="Arial" w:hAnsi="Arial" w:cs="Arial"/>
          <w:sz w:val="28"/>
          <w:szCs w:val="28"/>
        </w:rPr>
        <w:t>It is worth evaluating if data-driven models replicate the conclusions of past work</w:t>
      </w:r>
    </w:p>
    <w:p w14:paraId="7FD2A7DD" w14:textId="2E660D5C" w:rsidR="00602654" w:rsidRDefault="00602654" w:rsidP="00602654">
      <w:pPr>
        <w:pStyle w:val="ListParagraph"/>
        <w:rPr>
          <w:rFonts w:ascii="Arial" w:hAnsi="Arial" w:cs="Arial"/>
          <w:sz w:val="28"/>
          <w:szCs w:val="28"/>
        </w:rPr>
      </w:pPr>
    </w:p>
    <w:p w14:paraId="5448209D" w14:textId="2EC5F1E1" w:rsidR="00602654" w:rsidRDefault="00B22B3A" w:rsidP="00B22B3A">
      <w:pPr>
        <w:pStyle w:val="ListParagraph"/>
        <w:numPr>
          <w:ilvl w:val="0"/>
          <w:numId w:val="1"/>
        </w:numPr>
        <w:rPr>
          <w:rFonts w:ascii="Arial" w:hAnsi="Arial" w:cs="Arial"/>
          <w:sz w:val="28"/>
          <w:szCs w:val="28"/>
        </w:rPr>
      </w:pPr>
      <w:r>
        <w:rPr>
          <w:rFonts w:ascii="Arial" w:hAnsi="Arial" w:cs="Arial"/>
          <w:sz w:val="28"/>
          <w:szCs w:val="28"/>
        </w:rPr>
        <w:t xml:space="preserve">At the same time, data-driven approaches and predictive models are not without their own </w:t>
      </w:r>
      <w:r w:rsidR="00602654">
        <w:rPr>
          <w:rFonts w:ascii="Arial" w:hAnsi="Arial" w:cs="Arial"/>
          <w:sz w:val="28"/>
          <w:szCs w:val="28"/>
        </w:rPr>
        <w:t>shortcomings</w:t>
      </w:r>
    </w:p>
    <w:p w14:paraId="2440B915" w14:textId="77777777" w:rsidR="00602654" w:rsidRDefault="00B22B3A" w:rsidP="00602654">
      <w:pPr>
        <w:pStyle w:val="ListParagraph"/>
        <w:numPr>
          <w:ilvl w:val="1"/>
          <w:numId w:val="1"/>
        </w:numPr>
        <w:rPr>
          <w:rFonts w:ascii="Arial" w:hAnsi="Arial" w:cs="Arial"/>
          <w:sz w:val="28"/>
          <w:szCs w:val="28"/>
        </w:rPr>
      </w:pPr>
      <w:r>
        <w:rPr>
          <w:rFonts w:ascii="Arial" w:hAnsi="Arial" w:cs="Arial"/>
          <w:sz w:val="28"/>
          <w:szCs w:val="28"/>
        </w:rPr>
        <w:t>prone to overfitting</w:t>
      </w:r>
    </w:p>
    <w:p w14:paraId="3C3325F7" w14:textId="7ADD0386" w:rsidR="00602654" w:rsidRDefault="00602654" w:rsidP="00602654">
      <w:pPr>
        <w:pStyle w:val="ListParagraph"/>
        <w:numPr>
          <w:ilvl w:val="1"/>
          <w:numId w:val="1"/>
        </w:numPr>
        <w:rPr>
          <w:rFonts w:ascii="Arial" w:hAnsi="Arial" w:cs="Arial"/>
          <w:sz w:val="28"/>
          <w:szCs w:val="28"/>
        </w:rPr>
      </w:pPr>
      <w:r>
        <w:rPr>
          <w:rFonts w:ascii="Arial" w:hAnsi="Arial" w:cs="Arial"/>
          <w:sz w:val="28"/>
          <w:szCs w:val="28"/>
        </w:rPr>
        <w:t>biased in the context of smaller samples with class imbalance</w:t>
      </w:r>
    </w:p>
    <w:p w14:paraId="0BDD3421" w14:textId="57B7B0F3" w:rsidR="00602654" w:rsidRDefault="00602654" w:rsidP="00602654">
      <w:pPr>
        <w:pStyle w:val="ListParagraph"/>
        <w:numPr>
          <w:ilvl w:val="1"/>
          <w:numId w:val="1"/>
        </w:numPr>
        <w:rPr>
          <w:rFonts w:ascii="Arial" w:hAnsi="Arial" w:cs="Arial"/>
          <w:sz w:val="28"/>
          <w:szCs w:val="28"/>
        </w:rPr>
      </w:pPr>
      <w:r>
        <w:rPr>
          <w:rFonts w:ascii="Arial" w:hAnsi="Arial" w:cs="Arial"/>
          <w:sz w:val="28"/>
          <w:szCs w:val="28"/>
        </w:rPr>
        <w:t>often require a lot of data to fit an algorithm</w:t>
      </w:r>
    </w:p>
    <w:p w14:paraId="0F3DC028" w14:textId="5D138AC1" w:rsidR="00B22B3A" w:rsidRDefault="00B22B3A" w:rsidP="00B22B3A">
      <w:pPr>
        <w:pStyle w:val="ListParagraph"/>
        <w:numPr>
          <w:ilvl w:val="0"/>
          <w:numId w:val="1"/>
        </w:numPr>
        <w:rPr>
          <w:rFonts w:ascii="Arial" w:hAnsi="Arial" w:cs="Arial"/>
          <w:sz w:val="28"/>
          <w:szCs w:val="28"/>
        </w:rPr>
      </w:pPr>
      <w:r>
        <w:rPr>
          <w:rFonts w:ascii="Arial" w:hAnsi="Arial" w:cs="Arial"/>
          <w:sz w:val="28"/>
          <w:szCs w:val="28"/>
        </w:rPr>
        <w:t>Recently, it has been proposed that the field could benefit from taking a ‘converging evidence’ approach: researchers look across and within-studies for converging statistical evidence on which to base conclusions</w:t>
      </w:r>
      <w:r w:rsidR="00602654">
        <w:rPr>
          <w:rFonts w:ascii="Arial" w:hAnsi="Arial" w:cs="Arial"/>
          <w:sz w:val="28"/>
          <w:szCs w:val="28"/>
        </w:rPr>
        <w:t xml:space="preserve"> (</w:t>
      </w:r>
      <w:r w:rsidR="00CF50A6">
        <w:rPr>
          <w:rFonts w:ascii="Arial" w:hAnsi="Arial" w:cs="Arial"/>
          <w:sz w:val="28"/>
          <w:szCs w:val="28"/>
        </w:rPr>
        <w:t xml:space="preserve">Rocca &amp; </w:t>
      </w:r>
      <w:proofErr w:type="spellStart"/>
      <w:r w:rsidR="00602654">
        <w:rPr>
          <w:rFonts w:ascii="Arial" w:hAnsi="Arial" w:cs="Arial"/>
          <w:sz w:val="28"/>
          <w:szCs w:val="28"/>
        </w:rPr>
        <w:t>Yarkoni</w:t>
      </w:r>
      <w:proofErr w:type="spellEnd"/>
      <w:r w:rsidR="00602654">
        <w:rPr>
          <w:rFonts w:ascii="Arial" w:hAnsi="Arial" w:cs="Arial"/>
          <w:sz w:val="28"/>
          <w:szCs w:val="28"/>
        </w:rPr>
        <w:t>, 2020)</w:t>
      </w:r>
    </w:p>
    <w:p w14:paraId="51BEFCA2" w14:textId="098725FA" w:rsidR="00CF50A6" w:rsidRDefault="006A6787" w:rsidP="00B22B3A">
      <w:pPr>
        <w:pStyle w:val="ListParagraph"/>
        <w:numPr>
          <w:ilvl w:val="0"/>
          <w:numId w:val="1"/>
        </w:numPr>
        <w:rPr>
          <w:rFonts w:ascii="Arial" w:hAnsi="Arial" w:cs="Arial"/>
          <w:sz w:val="28"/>
          <w:szCs w:val="28"/>
        </w:rPr>
      </w:pPr>
      <w:r>
        <w:rPr>
          <w:rFonts w:ascii="Arial" w:hAnsi="Arial" w:cs="Arial"/>
          <w:sz w:val="28"/>
          <w:szCs w:val="28"/>
        </w:rPr>
        <w:t>By analyzing the consistency of results from models requiring varying “researcher degrees of freedom”, we can demonstrate the robustness of our findings to the sources of bias that usually go unreported</w:t>
      </w:r>
    </w:p>
    <w:p w14:paraId="20C8A856" w14:textId="77777777" w:rsidR="006A6787" w:rsidRPr="006A6787" w:rsidRDefault="006A6787" w:rsidP="006A6787">
      <w:pPr>
        <w:rPr>
          <w:rFonts w:ascii="Arial" w:hAnsi="Arial" w:cs="Arial"/>
          <w:sz w:val="28"/>
          <w:szCs w:val="28"/>
        </w:rPr>
      </w:pPr>
    </w:p>
    <w:p w14:paraId="77954ECA" w14:textId="36D42EBA" w:rsidR="00B22B3A" w:rsidRDefault="00B22B3A" w:rsidP="00B22B3A">
      <w:pPr>
        <w:pStyle w:val="ListParagraph"/>
        <w:numPr>
          <w:ilvl w:val="0"/>
          <w:numId w:val="1"/>
        </w:numPr>
        <w:rPr>
          <w:rFonts w:ascii="Arial" w:hAnsi="Arial" w:cs="Arial"/>
          <w:sz w:val="28"/>
          <w:szCs w:val="28"/>
        </w:rPr>
      </w:pPr>
      <w:r>
        <w:rPr>
          <w:rFonts w:ascii="Arial" w:hAnsi="Arial" w:cs="Arial"/>
          <w:sz w:val="28"/>
          <w:szCs w:val="28"/>
        </w:rPr>
        <w:t>This paper takes such an approach to examine the effect of early-life adversity on subcortical grey matter development by conducting hypothesis-driven and hypothesis-free (data-driven) statistical analyses</w:t>
      </w:r>
    </w:p>
    <w:p w14:paraId="051158EF" w14:textId="3FBF358D" w:rsidR="00B22B3A" w:rsidRDefault="00B22B3A" w:rsidP="00B22B3A">
      <w:pPr>
        <w:pStyle w:val="ListParagraph"/>
        <w:numPr>
          <w:ilvl w:val="0"/>
          <w:numId w:val="1"/>
        </w:numPr>
        <w:rPr>
          <w:rFonts w:ascii="Arial" w:hAnsi="Arial" w:cs="Arial"/>
          <w:sz w:val="28"/>
          <w:szCs w:val="28"/>
        </w:rPr>
      </w:pPr>
      <w:r>
        <w:rPr>
          <w:rFonts w:ascii="Arial" w:hAnsi="Arial" w:cs="Arial"/>
          <w:sz w:val="28"/>
          <w:szCs w:val="28"/>
        </w:rPr>
        <w:t>(background on the existing theories of early-life adversity’s impact on brain development)</w:t>
      </w:r>
    </w:p>
    <w:p w14:paraId="17D975FB" w14:textId="59DD55EE" w:rsidR="006A6787" w:rsidRPr="006A6787" w:rsidRDefault="00B22B3A" w:rsidP="006A6787">
      <w:pPr>
        <w:pStyle w:val="ListParagraph"/>
        <w:numPr>
          <w:ilvl w:val="1"/>
          <w:numId w:val="1"/>
        </w:numPr>
        <w:rPr>
          <w:rFonts w:ascii="Arial" w:hAnsi="Arial" w:cs="Arial"/>
          <w:sz w:val="28"/>
          <w:szCs w:val="28"/>
        </w:rPr>
      </w:pPr>
      <w:r>
        <w:rPr>
          <w:rFonts w:ascii="Arial" w:hAnsi="Arial" w:cs="Arial"/>
          <w:sz w:val="28"/>
          <w:szCs w:val="28"/>
        </w:rPr>
        <w:t xml:space="preserve">Highlight that </w:t>
      </w:r>
      <w:r w:rsidR="006A6787">
        <w:rPr>
          <w:rFonts w:ascii="Arial" w:hAnsi="Arial" w:cs="Arial"/>
          <w:sz w:val="28"/>
          <w:szCs w:val="28"/>
        </w:rPr>
        <w:t>most</w:t>
      </w:r>
      <w:r>
        <w:rPr>
          <w:rFonts w:ascii="Arial" w:hAnsi="Arial" w:cs="Arial"/>
          <w:sz w:val="28"/>
          <w:szCs w:val="28"/>
        </w:rPr>
        <w:t xml:space="preserve"> of this work </w:t>
      </w:r>
      <w:r w:rsidR="006A6787">
        <w:rPr>
          <w:rFonts w:ascii="Arial" w:hAnsi="Arial" w:cs="Arial"/>
          <w:sz w:val="28"/>
          <w:szCs w:val="28"/>
        </w:rPr>
        <w:t>would fall into the theory-driven bin</w:t>
      </w:r>
    </w:p>
    <w:p w14:paraId="5FDE69C7" w14:textId="75EC2D37" w:rsidR="00B22B3A" w:rsidRDefault="006A6787" w:rsidP="00B22B3A">
      <w:pPr>
        <w:pStyle w:val="ListParagraph"/>
        <w:numPr>
          <w:ilvl w:val="0"/>
          <w:numId w:val="1"/>
        </w:numPr>
        <w:rPr>
          <w:rFonts w:ascii="Arial" w:hAnsi="Arial" w:cs="Arial"/>
          <w:sz w:val="28"/>
          <w:szCs w:val="28"/>
        </w:rPr>
      </w:pPr>
      <w:r>
        <w:rPr>
          <w:rFonts w:ascii="Arial" w:hAnsi="Arial" w:cs="Arial"/>
          <w:sz w:val="28"/>
          <w:szCs w:val="28"/>
        </w:rPr>
        <w:t>No attempts to decode the impact of early-life adversity on brain development using data-driven machine learning exist, nor have they been rigorously compared within the same exact population and sample to the conclusions derived from traditional statistical methods</w:t>
      </w:r>
    </w:p>
    <w:p w14:paraId="008F8069" w14:textId="77777777" w:rsidR="006A6787" w:rsidRPr="006A6787" w:rsidRDefault="006A6787" w:rsidP="006A6787">
      <w:pPr>
        <w:rPr>
          <w:rFonts w:ascii="Arial" w:hAnsi="Arial" w:cs="Arial"/>
          <w:sz w:val="28"/>
          <w:szCs w:val="28"/>
        </w:rPr>
      </w:pPr>
    </w:p>
    <w:p w14:paraId="2947FF2C" w14:textId="00906E7A" w:rsidR="00573BE6" w:rsidRDefault="00CA6436">
      <w:pPr>
        <w:rPr>
          <w:rFonts w:ascii="Arial" w:hAnsi="Arial" w:cs="Arial"/>
          <w:sz w:val="28"/>
          <w:szCs w:val="28"/>
        </w:rPr>
      </w:pPr>
      <w:r w:rsidRPr="00CA6436">
        <w:rPr>
          <w:rFonts w:ascii="Arial" w:hAnsi="Arial" w:cs="Arial"/>
          <w:b/>
          <w:bCs/>
          <w:sz w:val="28"/>
          <w:szCs w:val="28"/>
        </w:rPr>
        <w:t>Results</w:t>
      </w:r>
    </w:p>
    <w:p w14:paraId="3F46E33D" w14:textId="478E5FCF" w:rsidR="00CA6436" w:rsidRPr="00451204" w:rsidRDefault="00593004" w:rsidP="00DF4329">
      <w:pPr>
        <w:jc w:val="center"/>
        <w:rPr>
          <w:rFonts w:ascii="Arial" w:hAnsi="Arial" w:cs="Arial"/>
          <w:i/>
          <w:iCs/>
          <w:sz w:val="28"/>
          <w:szCs w:val="28"/>
        </w:rPr>
      </w:pPr>
      <w:r w:rsidRPr="00451204">
        <w:rPr>
          <w:rFonts w:ascii="Arial" w:hAnsi="Arial" w:cs="Arial"/>
          <w:i/>
          <w:iCs/>
          <w:sz w:val="28"/>
          <w:szCs w:val="28"/>
        </w:rPr>
        <w:t>Model Accuracy and the reliability of associations between early-life adversity and subcortical brain volume</w:t>
      </w:r>
      <w:r w:rsidR="00451204" w:rsidRPr="00451204">
        <w:rPr>
          <w:rFonts w:ascii="Arial" w:hAnsi="Arial" w:cs="Arial"/>
          <w:i/>
          <w:iCs/>
          <w:sz w:val="28"/>
          <w:szCs w:val="28"/>
        </w:rPr>
        <w:t>.</w:t>
      </w:r>
    </w:p>
    <w:p w14:paraId="49411368" w14:textId="1295C7A6" w:rsidR="00CA6436" w:rsidRDefault="00CA6436" w:rsidP="00CA6436">
      <w:pPr>
        <w:ind w:firstLine="720"/>
        <w:rPr>
          <w:rFonts w:ascii="Arial" w:hAnsi="Arial" w:cs="Arial"/>
          <w:sz w:val="28"/>
          <w:szCs w:val="28"/>
        </w:rPr>
      </w:pPr>
      <w:r>
        <w:rPr>
          <w:rFonts w:ascii="Arial" w:hAnsi="Arial" w:cs="Arial"/>
          <w:sz w:val="28"/>
          <w:szCs w:val="28"/>
        </w:rPr>
        <w:t xml:space="preserve">We built </w:t>
      </w:r>
      <w:r w:rsidR="001D758F">
        <w:rPr>
          <w:rFonts w:ascii="Arial" w:hAnsi="Arial" w:cs="Arial"/>
          <w:sz w:val="28"/>
          <w:szCs w:val="28"/>
        </w:rPr>
        <w:t>6</w:t>
      </w:r>
      <w:r w:rsidR="00DF4329">
        <w:rPr>
          <w:rFonts w:ascii="Arial" w:hAnsi="Arial" w:cs="Arial"/>
          <w:sz w:val="28"/>
          <w:szCs w:val="28"/>
        </w:rPr>
        <w:t xml:space="preserve"> ensemble</w:t>
      </w:r>
      <w:r w:rsidR="001D758F">
        <w:rPr>
          <w:rFonts w:ascii="Arial" w:hAnsi="Arial" w:cs="Arial"/>
          <w:sz w:val="28"/>
          <w:szCs w:val="28"/>
        </w:rPr>
        <w:t xml:space="preserve"> models</w:t>
      </w:r>
      <w:r>
        <w:rPr>
          <w:rFonts w:ascii="Arial" w:hAnsi="Arial" w:cs="Arial"/>
          <w:sz w:val="28"/>
          <w:szCs w:val="28"/>
        </w:rPr>
        <w:t xml:space="preserve"> to predict group labels (probability of having experienced early-life adversity) from subcortical grey matter volume: 2 model types </w:t>
      </w:r>
      <w:r>
        <w:rPr>
          <w:rFonts w:ascii="Arial" w:hAnsi="Arial" w:cs="Arial"/>
          <w:sz w:val="28"/>
          <w:szCs w:val="28"/>
        </w:rPr>
        <w:lastRenderedPageBreak/>
        <w:t xml:space="preserve">(gradient boosted machines (GBM) and logistic regression (GLM)) and 3 preprocessing pipelines (no covariate </w:t>
      </w:r>
      <w:r w:rsidR="00301172">
        <w:rPr>
          <w:rFonts w:ascii="Arial" w:hAnsi="Arial" w:cs="Arial"/>
          <w:sz w:val="28"/>
          <w:szCs w:val="28"/>
        </w:rPr>
        <w:t>adjustment</w:t>
      </w:r>
      <w:r>
        <w:rPr>
          <w:rFonts w:ascii="Arial" w:hAnsi="Arial" w:cs="Arial"/>
          <w:sz w:val="28"/>
          <w:szCs w:val="28"/>
        </w:rPr>
        <w:t xml:space="preserve">, adjustment for age and sex, and adjustment for age, sex, and cranial volume) for a total of </w:t>
      </w:r>
      <w:r w:rsidR="001D758F">
        <w:rPr>
          <w:rFonts w:ascii="Arial" w:hAnsi="Arial" w:cs="Arial"/>
          <w:sz w:val="28"/>
          <w:szCs w:val="28"/>
        </w:rPr>
        <w:t>100</w:t>
      </w:r>
      <w:r>
        <w:rPr>
          <w:rFonts w:ascii="Arial" w:hAnsi="Arial" w:cs="Arial"/>
          <w:sz w:val="28"/>
          <w:szCs w:val="28"/>
        </w:rPr>
        <w:t xml:space="preserve"> models</w:t>
      </w:r>
      <w:r w:rsidR="001D758F">
        <w:rPr>
          <w:rFonts w:ascii="Arial" w:hAnsi="Arial" w:cs="Arial"/>
          <w:sz w:val="28"/>
          <w:szCs w:val="28"/>
        </w:rPr>
        <w:t xml:space="preserve"> of each kind and 600 models overall</w:t>
      </w:r>
      <w:r>
        <w:rPr>
          <w:rFonts w:ascii="Arial" w:hAnsi="Arial" w:cs="Arial"/>
          <w:sz w:val="28"/>
          <w:szCs w:val="28"/>
        </w:rPr>
        <w:t>.</w:t>
      </w:r>
      <w:r w:rsidR="001D758F">
        <w:rPr>
          <w:rFonts w:ascii="Arial" w:hAnsi="Arial" w:cs="Arial"/>
          <w:sz w:val="28"/>
          <w:szCs w:val="28"/>
        </w:rPr>
        <w:t xml:space="preserve"> Final results are derived by averaging the predicted values for each subject in the validation </w:t>
      </w:r>
      <w:proofErr w:type="gramStart"/>
      <w:r w:rsidR="001D758F">
        <w:rPr>
          <w:rFonts w:ascii="Arial" w:hAnsi="Arial" w:cs="Arial"/>
          <w:sz w:val="28"/>
          <w:szCs w:val="28"/>
        </w:rPr>
        <w:t>population, and</w:t>
      </w:r>
      <w:proofErr w:type="gramEnd"/>
      <w:r w:rsidR="001D758F">
        <w:rPr>
          <w:rFonts w:ascii="Arial" w:hAnsi="Arial" w:cs="Arial"/>
          <w:sz w:val="28"/>
          <w:szCs w:val="28"/>
        </w:rPr>
        <w:t xml:space="preserve"> calculating model performance one time for each pipeline x model-type (6 final prediction accuracies).</w:t>
      </w:r>
    </w:p>
    <w:p w14:paraId="1833C4B5" w14:textId="4DF69911" w:rsidR="00CA6436" w:rsidRDefault="00CA6436" w:rsidP="00CA6436">
      <w:pPr>
        <w:ind w:firstLine="720"/>
        <w:rPr>
          <w:rFonts w:ascii="Arial" w:hAnsi="Arial" w:cs="Arial"/>
          <w:sz w:val="28"/>
          <w:szCs w:val="28"/>
        </w:rPr>
      </w:pPr>
      <w:r>
        <w:rPr>
          <w:rFonts w:ascii="Arial" w:hAnsi="Arial" w:cs="Arial"/>
          <w:noProof/>
          <w:sz w:val="28"/>
          <w:szCs w:val="28"/>
        </w:rPr>
        <w:drawing>
          <wp:anchor distT="0" distB="0" distL="114300" distR="114300" simplePos="0" relativeHeight="251658240" behindDoc="0" locked="0" layoutInCell="1" allowOverlap="1" wp14:anchorId="22F785EE" wp14:editId="798617CC">
            <wp:simplePos x="0" y="0"/>
            <wp:positionH relativeFrom="column">
              <wp:posOffset>-317500</wp:posOffset>
            </wp:positionH>
            <wp:positionV relativeFrom="paragraph">
              <wp:posOffset>1038860</wp:posOffset>
            </wp:positionV>
            <wp:extent cx="7569200" cy="5504180"/>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69200" cy="55041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8"/>
          <w:szCs w:val="28"/>
        </w:rPr>
        <w:t xml:space="preserve">5 of the 6 models predicting group labels from brain volume were significantly more accurate than chance (highest ROC-AUC is .76, lowest </w:t>
      </w:r>
      <w:r>
        <w:rPr>
          <w:rFonts w:ascii="Arial" w:hAnsi="Arial" w:cs="Arial"/>
          <w:b/>
          <w:bCs/>
          <w:sz w:val="28"/>
          <w:szCs w:val="28"/>
        </w:rPr>
        <w:t>significant</w:t>
      </w:r>
      <w:r>
        <w:rPr>
          <w:rFonts w:ascii="Arial" w:hAnsi="Arial" w:cs="Arial"/>
          <w:sz w:val="28"/>
          <w:szCs w:val="28"/>
        </w:rPr>
        <w:t xml:space="preserve"> is .66), while the only non-significant model is the GBM model using the age, sex, and cranial volume</w:t>
      </w:r>
      <w:r w:rsidR="00301172">
        <w:rPr>
          <w:rFonts w:ascii="Arial" w:hAnsi="Arial" w:cs="Arial"/>
          <w:sz w:val="28"/>
          <w:szCs w:val="28"/>
        </w:rPr>
        <w:t xml:space="preserve"> adjustment preprocessing pipeline, ROC-AUC: .61 (</w:t>
      </w:r>
      <w:proofErr w:type="spellStart"/>
      <w:r w:rsidR="00301172">
        <w:rPr>
          <w:rFonts w:ascii="Arial" w:hAnsi="Arial" w:cs="Arial"/>
          <w:sz w:val="28"/>
          <w:szCs w:val="28"/>
        </w:rPr>
        <w:t>n.s</w:t>
      </w:r>
      <w:proofErr w:type="spellEnd"/>
      <w:r w:rsidR="00301172">
        <w:rPr>
          <w:rFonts w:ascii="Arial" w:hAnsi="Arial" w:cs="Arial"/>
          <w:sz w:val="28"/>
          <w:szCs w:val="28"/>
        </w:rPr>
        <w:t>.)</w:t>
      </w:r>
      <w:r>
        <w:rPr>
          <w:rFonts w:ascii="Arial" w:hAnsi="Arial" w:cs="Arial"/>
          <w:sz w:val="28"/>
          <w:szCs w:val="28"/>
        </w:rPr>
        <w:t xml:space="preserve">. </w:t>
      </w:r>
    </w:p>
    <w:p w14:paraId="085AFA7E" w14:textId="25487B08" w:rsidR="00301172" w:rsidRDefault="00301172" w:rsidP="00CA6436">
      <w:pPr>
        <w:ind w:firstLine="720"/>
        <w:rPr>
          <w:rFonts w:ascii="Arial" w:hAnsi="Arial" w:cs="Arial"/>
          <w:sz w:val="28"/>
          <w:szCs w:val="28"/>
        </w:rPr>
      </w:pPr>
    </w:p>
    <w:p w14:paraId="68A4B1C7" w14:textId="2584CFC1" w:rsidR="00301172" w:rsidRDefault="00301172" w:rsidP="00CA6436">
      <w:pPr>
        <w:ind w:firstLine="720"/>
        <w:rPr>
          <w:rFonts w:ascii="Arial" w:hAnsi="Arial" w:cs="Arial"/>
          <w:sz w:val="28"/>
          <w:szCs w:val="28"/>
        </w:rPr>
      </w:pPr>
      <w:r>
        <w:rPr>
          <w:rFonts w:ascii="Arial" w:hAnsi="Arial" w:cs="Arial"/>
          <w:b/>
          <w:bCs/>
          <w:sz w:val="28"/>
          <w:szCs w:val="28"/>
        </w:rPr>
        <w:t>Figure 1</w:t>
      </w:r>
      <w:r>
        <w:rPr>
          <w:rFonts w:ascii="Arial" w:hAnsi="Arial" w:cs="Arial"/>
          <w:sz w:val="28"/>
          <w:szCs w:val="28"/>
        </w:rPr>
        <w:t xml:space="preserve">. </w:t>
      </w:r>
      <w:r w:rsidR="001D758F" w:rsidRPr="00DE4589">
        <w:rPr>
          <w:rFonts w:ascii="Arial" w:hAnsi="Arial" w:cs="Arial"/>
        </w:rPr>
        <w:t xml:space="preserve">The plot contains </w:t>
      </w:r>
      <w:proofErr w:type="gramStart"/>
      <w:r w:rsidR="001D758F" w:rsidRPr="00DE4589">
        <w:rPr>
          <w:rFonts w:ascii="Arial" w:hAnsi="Arial" w:cs="Arial"/>
        </w:rPr>
        <w:t>12 point</w:t>
      </w:r>
      <w:proofErr w:type="gramEnd"/>
      <w:r w:rsidR="001D758F" w:rsidRPr="00DE4589">
        <w:rPr>
          <w:rFonts w:ascii="Arial" w:hAnsi="Arial" w:cs="Arial"/>
        </w:rPr>
        <w:t xml:space="preserve"> clouds/boxplots</w:t>
      </w:r>
      <w:r w:rsidR="00863F68" w:rsidRPr="00DE4589">
        <w:rPr>
          <w:rFonts w:ascii="Arial" w:hAnsi="Arial" w:cs="Arial"/>
        </w:rPr>
        <w:t xml:space="preserve"> (positioned in 6 cells), in which points are ROC-AUC values plotted on a </w:t>
      </w:r>
      <w:r w:rsidR="001D758F" w:rsidRPr="00DE4589">
        <w:rPr>
          <w:rFonts w:ascii="Arial" w:hAnsi="Arial" w:cs="Arial"/>
        </w:rPr>
        <w:t xml:space="preserve">y-axis ranging from around .35 to .85. The </w:t>
      </w:r>
      <w:proofErr w:type="gramStart"/>
      <w:r w:rsidR="001D758F" w:rsidRPr="00DE4589">
        <w:rPr>
          <w:rFonts w:ascii="Arial" w:hAnsi="Arial" w:cs="Arial"/>
        </w:rPr>
        <w:t>6 point</w:t>
      </w:r>
      <w:proofErr w:type="gramEnd"/>
      <w:r w:rsidR="001D758F" w:rsidRPr="00DE4589">
        <w:rPr>
          <w:rFonts w:ascii="Arial" w:hAnsi="Arial" w:cs="Arial"/>
        </w:rPr>
        <w:t xml:space="preserve"> clouds on the top row</w:t>
      </w:r>
      <w:r w:rsidR="00863F68" w:rsidRPr="00DE4589">
        <w:rPr>
          <w:rFonts w:ascii="Arial" w:hAnsi="Arial" w:cs="Arial"/>
        </w:rPr>
        <w:t xml:space="preserve"> (in the top 3 cells)</w:t>
      </w:r>
      <w:r w:rsidR="001D758F" w:rsidRPr="00DE4589">
        <w:rPr>
          <w:rFonts w:ascii="Arial" w:hAnsi="Arial" w:cs="Arial"/>
        </w:rPr>
        <w:t xml:space="preserve"> correspond to the 6 final ROCAUC </w:t>
      </w:r>
      <w:r w:rsidR="00863F68" w:rsidRPr="00DE4589">
        <w:rPr>
          <w:rFonts w:ascii="Arial" w:hAnsi="Arial" w:cs="Arial"/>
        </w:rPr>
        <w:t>derived from averaging the predicted probabilities for each subject</w:t>
      </w:r>
      <w:r w:rsidR="005970AD">
        <w:rPr>
          <w:rFonts w:ascii="Arial" w:hAnsi="Arial" w:cs="Arial"/>
        </w:rPr>
        <w:t xml:space="preserve"> within each ensemble</w:t>
      </w:r>
      <w:r w:rsidR="00863F68" w:rsidRPr="00DE4589">
        <w:rPr>
          <w:rFonts w:ascii="Arial" w:hAnsi="Arial" w:cs="Arial"/>
        </w:rPr>
        <w:t xml:space="preserve">, and then calculating ROC-AUC one time (for each </w:t>
      </w:r>
      <w:r w:rsidR="005970AD">
        <w:rPr>
          <w:rFonts w:ascii="Arial" w:hAnsi="Arial" w:cs="Arial"/>
        </w:rPr>
        <w:t>ensemble)</w:t>
      </w:r>
      <w:r w:rsidR="00863F68" w:rsidRPr="00DE4589">
        <w:rPr>
          <w:rFonts w:ascii="Arial" w:hAnsi="Arial" w:cs="Arial"/>
        </w:rPr>
        <w:t>. The</w:t>
      </w:r>
      <w:r w:rsidR="005970AD">
        <w:rPr>
          <w:rFonts w:ascii="Arial" w:hAnsi="Arial" w:cs="Arial"/>
        </w:rPr>
        <w:t xml:space="preserve"> encoloured</w:t>
      </w:r>
      <w:r w:rsidR="00863F68" w:rsidRPr="00DE4589">
        <w:rPr>
          <w:rFonts w:ascii="Arial" w:hAnsi="Arial" w:cs="Arial"/>
        </w:rPr>
        <w:t xml:space="preserve"> point clouds are derived from bootstrap</w:t>
      </w:r>
      <w:r w:rsidR="005970AD">
        <w:rPr>
          <w:rFonts w:ascii="Arial" w:hAnsi="Arial" w:cs="Arial"/>
        </w:rPr>
        <w:t xml:space="preserve"> resampling the 100 models of each ensemble, recomputing the averaged</w:t>
      </w:r>
      <w:r w:rsidR="00863F68" w:rsidRPr="00DE4589">
        <w:rPr>
          <w:rFonts w:ascii="Arial" w:hAnsi="Arial" w:cs="Arial"/>
        </w:rPr>
        <w:t xml:space="preserve"> </w:t>
      </w:r>
      <w:r w:rsidR="005970AD">
        <w:rPr>
          <w:rFonts w:ascii="Arial" w:hAnsi="Arial" w:cs="Arial"/>
        </w:rPr>
        <w:t>predicted probabilities and corresponding ROCAUC, 1000 times. T</w:t>
      </w:r>
      <w:r w:rsidR="00863F68" w:rsidRPr="00DE4589">
        <w:rPr>
          <w:rFonts w:ascii="Arial" w:hAnsi="Arial" w:cs="Arial"/>
        </w:rPr>
        <w:t xml:space="preserve">he grey point cloud is the permuted null distribution used to compute the p-value for the </w:t>
      </w:r>
      <w:r w:rsidR="00863F68" w:rsidRPr="00DE4589">
        <w:rPr>
          <w:rFonts w:ascii="Arial" w:hAnsi="Arial" w:cs="Arial"/>
        </w:rPr>
        <w:lastRenderedPageBreak/>
        <w:t>6</w:t>
      </w:r>
      <w:r w:rsidR="005970AD">
        <w:rPr>
          <w:rFonts w:ascii="Arial" w:hAnsi="Arial" w:cs="Arial"/>
        </w:rPr>
        <w:t xml:space="preserve"> observed</w:t>
      </w:r>
      <w:r w:rsidR="00863F68" w:rsidRPr="00DE4589">
        <w:rPr>
          <w:rFonts w:ascii="Arial" w:hAnsi="Arial" w:cs="Arial"/>
        </w:rPr>
        <w:t xml:space="preserve"> values. For a deeper </w:t>
      </w:r>
      <w:r w:rsidR="005970AD">
        <w:rPr>
          <w:rFonts w:ascii="Arial" w:hAnsi="Arial" w:cs="Arial"/>
        </w:rPr>
        <w:t>a</w:t>
      </w:r>
      <w:r w:rsidR="00863F68" w:rsidRPr="00DE4589">
        <w:rPr>
          <w:rFonts w:ascii="Arial" w:hAnsi="Arial" w:cs="Arial"/>
        </w:rPr>
        <w:t xml:space="preserve">nalysis of the certainty </w:t>
      </w:r>
      <w:r w:rsidR="005970AD">
        <w:rPr>
          <w:rFonts w:ascii="Arial" w:hAnsi="Arial" w:cs="Arial"/>
        </w:rPr>
        <w:t>and invariance</w:t>
      </w:r>
      <w:r w:rsidR="00863F68" w:rsidRPr="00DE4589">
        <w:rPr>
          <w:rFonts w:ascii="Arial" w:hAnsi="Arial" w:cs="Arial"/>
        </w:rPr>
        <w:t xml:space="preserve"> across the 100 iterations of cross-validation separately, we calculate ROC-AUC </w:t>
      </w:r>
      <w:r w:rsidR="00863F68" w:rsidRPr="00DE4589">
        <w:rPr>
          <w:rFonts w:ascii="Arial" w:hAnsi="Arial" w:cs="Arial"/>
          <w:i/>
          <w:iCs/>
        </w:rPr>
        <w:t>before</w:t>
      </w:r>
      <w:r w:rsidR="00863F68" w:rsidRPr="00DE4589">
        <w:rPr>
          <w:rFonts w:ascii="Arial" w:hAnsi="Arial" w:cs="Arial"/>
        </w:rPr>
        <w:t xml:space="preserve"> averaging predictions (100 distinct times) for each of the 6 </w:t>
      </w:r>
      <w:proofErr w:type="gramStart"/>
      <w:r w:rsidR="005970AD">
        <w:rPr>
          <w:rFonts w:ascii="Arial" w:hAnsi="Arial" w:cs="Arial"/>
        </w:rPr>
        <w:t>ensembles</w:t>
      </w:r>
      <w:r w:rsidR="00863F68" w:rsidRPr="00DE4589">
        <w:rPr>
          <w:rFonts w:ascii="Arial" w:hAnsi="Arial" w:cs="Arial"/>
        </w:rPr>
        <w:t>, and</w:t>
      </w:r>
      <w:proofErr w:type="gramEnd"/>
      <w:r w:rsidR="00863F68" w:rsidRPr="00DE4589">
        <w:rPr>
          <w:rFonts w:ascii="Arial" w:hAnsi="Arial" w:cs="Arial"/>
        </w:rPr>
        <w:t xml:space="preserve"> plot the resulting 100-point cloud and boxplot in the bottom row (bottom 3 cells) for each of the 6 model-type by preprocessing-type combinations. Each column </w:t>
      </w:r>
      <w:r w:rsidR="00132923" w:rsidRPr="00DE4589">
        <w:rPr>
          <w:rFonts w:ascii="Arial" w:hAnsi="Arial" w:cs="Arial"/>
        </w:rPr>
        <w:t>(</w:t>
      </w:r>
      <w:r w:rsidR="00863F68" w:rsidRPr="00DE4589">
        <w:rPr>
          <w:rFonts w:ascii="Arial" w:hAnsi="Arial" w:cs="Arial"/>
        </w:rPr>
        <w:t>and color</w:t>
      </w:r>
      <w:r w:rsidR="00132923" w:rsidRPr="00DE4589">
        <w:rPr>
          <w:rFonts w:ascii="Arial" w:hAnsi="Arial" w:cs="Arial"/>
        </w:rPr>
        <w:t>)</w:t>
      </w:r>
      <w:r w:rsidR="00863F68" w:rsidRPr="00DE4589">
        <w:rPr>
          <w:rFonts w:ascii="Arial" w:hAnsi="Arial" w:cs="Arial"/>
        </w:rPr>
        <w:t xml:space="preserve"> pertains to a different preprocessing pipeline, while within each cell, the cloud/boxplot on the left correspond</w:t>
      </w:r>
      <w:r w:rsidR="005970AD">
        <w:rPr>
          <w:rFonts w:ascii="Arial" w:hAnsi="Arial" w:cs="Arial"/>
        </w:rPr>
        <w:t>s</w:t>
      </w:r>
      <w:r w:rsidR="00863F68" w:rsidRPr="00DE4589">
        <w:rPr>
          <w:rFonts w:ascii="Arial" w:hAnsi="Arial" w:cs="Arial"/>
        </w:rPr>
        <w:t xml:space="preserve"> to </w:t>
      </w:r>
      <w:r w:rsidR="005970AD">
        <w:rPr>
          <w:rFonts w:ascii="Arial" w:hAnsi="Arial" w:cs="Arial"/>
        </w:rPr>
        <w:t>the GBM models and ensemble and those on the right pertain to the GLM models and ensemble</w:t>
      </w:r>
      <w:r w:rsidR="00132923" w:rsidRPr="00DE4589">
        <w:rPr>
          <w:rFonts w:ascii="Arial" w:hAnsi="Arial" w:cs="Arial"/>
        </w:rPr>
        <w:t>. Red lines reflect 95% confidence intervals</w:t>
      </w:r>
      <w:r w:rsidR="005970AD">
        <w:rPr>
          <w:rFonts w:ascii="Arial" w:hAnsi="Arial" w:cs="Arial"/>
        </w:rPr>
        <w:t>, based either on bootstrap standard error (top row, encoloured point clouds), or span the empirical 5</w:t>
      </w:r>
      <w:r w:rsidR="005970AD" w:rsidRPr="005970AD">
        <w:rPr>
          <w:rFonts w:ascii="Arial" w:hAnsi="Arial" w:cs="Arial"/>
          <w:vertAlign w:val="superscript"/>
        </w:rPr>
        <w:t>th</w:t>
      </w:r>
      <w:r w:rsidR="005970AD">
        <w:rPr>
          <w:rFonts w:ascii="Arial" w:hAnsi="Arial" w:cs="Arial"/>
        </w:rPr>
        <w:t xml:space="preserve"> to 95</w:t>
      </w:r>
      <w:r w:rsidR="005970AD" w:rsidRPr="005970AD">
        <w:rPr>
          <w:rFonts w:ascii="Arial" w:hAnsi="Arial" w:cs="Arial"/>
          <w:vertAlign w:val="superscript"/>
        </w:rPr>
        <w:t>th</w:t>
      </w:r>
      <w:r w:rsidR="005970AD">
        <w:rPr>
          <w:rFonts w:ascii="Arial" w:hAnsi="Arial" w:cs="Arial"/>
        </w:rPr>
        <w:t xml:space="preserve"> quantiles (for the null and individual-fold distributions).</w:t>
      </w:r>
    </w:p>
    <w:p w14:paraId="1EE99574" w14:textId="0217442F" w:rsidR="00907245" w:rsidRDefault="00907245" w:rsidP="00CA6436">
      <w:pPr>
        <w:ind w:firstLine="720"/>
        <w:rPr>
          <w:rFonts w:ascii="Arial" w:hAnsi="Arial" w:cs="Arial"/>
          <w:sz w:val="28"/>
          <w:szCs w:val="28"/>
        </w:rPr>
      </w:pPr>
    </w:p>
    <w:p w14:paraId="2A14D913" w14:textId="44AF05E8" w:rsidR="00F24401" w:rsidRDefault="00D17C78" w:rsidP="00DF4329">
      <w:pPr>
        <w:jc w:val="center"/>
        <w:rPr>
          <w:rFonts w:ascii="Arial" w:hAnsi="Arial" w:cs="Arial"/>
          <w:sz w:val="28"/>
          <w:szCs w:val="28"/>
        </w:rPr>
      </w:pPr>
      <w:r>
        <w:rPr>
          <w:rFonts w:ascii="Arial" w:hAnsi="Arial" w:cs="Arial"/>
          <w:i/>
          <w:iCs/>
          <w:sz w:val="28"/>
          <w:szCs w:val="28"/>
        </w:rPr>
        <w:t>Distinguishability of the Groups</w:t>
      </w:r>
    </w:p>
    <w:p w14:paraId="09826755" w14:textId="6AC2D762" w:rsidR="00D17C78" w:rsidRDefault="00D17C78" w:rsidP="00DF4329">
      <w:pPr>
        <w:jc w:val="center"/>
        <w:rPr>
          <w:rFonts w:ascii="Arial" w:hAnsi="Arial" w:cs="Arial"/>
          <w:sz w:val="28"/>
          <w:szCs w:val="28"/>
        </w:rPr>
      </w:pPr>
    </w:p>
    <w:p w14:paraId="259A60E5" w14:textId="11A3D800" w:rsidR="0063236F" w:rsidRDefault="00D17C78" w:rsidP="00D17C78">
      <w:pPr>
        <w:ind w:firstLine="720"/>
        <w:rPr>
          <w:rFonts w:ascii="Arial" w:hAnsi="Arial" w:cs="Arial"/>
          <w:sz w:val="28"/>
          <w:szCs w:val="28"/>
        </w:rPr>
      </w:pPr>
      <w:r>
        <w:rPr>
          <w:rFonts w:ascii="Arial" w:hAnsi="Arial" w:cs="Arial"/>
          <w:sz w:val="28"/>
          <w:szCs w:val="28"/>
        </w:rPr>
        <w:t xml:space="preserve">Quantifying the </w:t>
      </w:r>
      <w:r w:rsidR="000019BF">
        <w:rPr>
          <w:rFonts w:ascii="Arial" w:hAnsi="Arial" w:cs="Arial"/>
          <w:sz w:val="28"/>
          <w:szCs w:val="28"/>
        </w:rPr>
        <w:t xml:space="preserve">(dis)similarity between the ensemble’s predictions for participants </w:t>
      </w:r>
      <w:r w:rsidR="004E0B8C">
        <w:rPr>
          <w:rFonts w:ascii="Arial" w:hAnsi="Arial" w:cs="Arial"/>
          <w:sz w:val="28"/>
          <w:szCs w:val="28"/>
        </w:rPr>
        <w:t>of the</w:t>
      </w:r>
      <w:r w:rsidR="00F21639">
        <w:rPr>
          <w:rFonts w:ascii="Arial" w:hAnsi="Arial" w:cs="Arial"/>
          <w:sz w:val="28"/>
          <w:szCs w:val="28"/>
        </w:rPr>
        <w:t xml:space="preserve"> two</w:t>
      </w:r>
      <w:r w:rsidR="000019BF">
        <w:rPr>
          <w:rFonts w:ascii="Arial" w:hAnsi="Arial" w:cs="Arial"/>
          <w:sz w:val="28"/>
          <w:szCs w:val="28"/>
        </w:rPr>
        <w:t xml:space="preserve"> groups in the validation</w:t>
      </w:r>
      <w:r w:rsidR="004E0B8C">
        <w:rPr>
          <w:rFonts w:ascii="Arial" w:hAnsi="Arial" w:cs="Arial"/>
          <w:sz w:val="28"/>
          <w:szCs w:val="28"/>
        </w:rPr>
        <w:t xml:space="preserve"> set</w:t>
      </w:r>
      <w:r w:rsidR="000019BF">
        <w:rPr>
          <w:rFonts w:ascii="Arial" w:hAnsi="Arial" w:cs="Arial"/>
          <w:sz w:val="28"/>
          <w:szCs w:val="28"/>
        </w:rPr>
        <w:t xml:space="preserve"> can be a better way to evaluate the performance of the models than classification accuracy (or metrics based upon it such as ROC-AUC)</w:t>
      </w:r>
      <w:r w:rsidR="00F21639">
        <w:rPr>
          <w:rFonts w:ascii="Arial" w:hAnsi="Arial" w:cs="Arial"/>
          <w:sz w:val="28"/>
          <w:szCs w:val="28"/>
        </w:rPr>
        <w:t>,</w:t>
      </w:r>
      <w:r w:rsidR="000019BF">
        <w:rPr>
          <w:rFonts w:ascii="Arial" w:hAnsi="Arial" w:cs="Arial"/>
          <w:sz w:val="28"/>
          <w:szCs w:val="28"/>
        </w:rPr>
        <w:t xml:space="preserve"> because </w:t>
      </w:r>
      <w:r w:rsidR="00F21639">
        <w:rPr>
          <w:rFonts w:ascii="Arial" w:hAnsi="Arial" w:cs="Arial"/>
          <w:sz w:val="28"/>
          <w:szCs w:val="28"/>
        </w:rPr>
        <w:t xml:space="preserve">the </w:t>
      </w:r>
      <w:r w:rsidR="000019BF">
        <w:rPr>
          <w:rFonts w:ascii="Arial" w:hAnsi="Arial" w:cs="Arial"/>
          <w:sz w:val="28"/>
          <w:szCs w:val="28"/>
        </w:rPr>
        <w:t xml:space="preserve">thresholds (usually .5) </w:t>
      </w:r>
      <w:r w:rsidR="00F21639">
        <w:rPr>
          <w:rFonts w:ascii="Arial" w:hAnsi="Arial" w:cs="Arial"/>
          <w:sz w:val="28"/>
          <w:szCs w:val="28"/>
        </w:rPr>
        <w:t>required to make classifications are arbitrary unless the group sizes themselves carry some meaning (e.g., reflect the prevalence of a disease in a specific population)</w:t>
      </w:r>
      <w:r w:rsidR="000019BF">
        <w:rPr>
          <w:rFonts w:ascii="Arial" w:hAnsi="Arial" w:cs="Arial"/>
          <w:sz w:val="28"/>
          <w:szCs w:val="28"/>
        </w:rPr>
        <w:t>. Thus</w:t>
      </w:r>
      <w:r>
        <w:rPr>
          <w:rFonts w:ascii="Arial" w:hAnsi="Arial" w:cs="Arial"/>
          <w:sz w:val="28"/>
          <w:szCs w:val="28"/>
        </w:rPr>
        <w:t>,</w:t>
      </w:r>
      <w:r w:rsidR="00F21639">
        <w:rPr>
          <w:rFonts w:ascii="Arial" w:hAnsi="Arial" w:cs="Arial"/>
          <w:sz w:val="28"/>
          <w:szCs w:val="28"/>
        </w:rPr>
        <w:t xml:space="preserve"> to assess the distinctiveness of each group’s subcortical brain features (with respect to the other’s), we also computed the Kolmogorov-Smirnov </w:t>
      </w:r>
      <w:r w:rsidR="0063236F">
        <w:rPr>
          <w:rFonts w:ascii="Arial" w:hAnsi="Arial" w:cs="Arial"/>
          <w:sz w:val="28"/>
          <w:szCs w:val="28"/>
        </w:rPr>
        <w:t xml:space="preserve">(KS) </w:t>
      </w:r>
      <w:r w:rsidR="00F21639">
        <w:rPr>
          <w:rFonts w:ascii="Arial" w:hAnsi="Arial" w:cs="Arial"/>
          <w:sz w:val="28"/>
          <w:szCs w:val="28"/>
        </w:rPr>
        <w:t xml:space="preserve">test statistic between the distribution of predictions made for the early-adversity and comparison groups </w:t>
      </w:r>
      <w:r w:rsidR="0063236F">
        <w:rPr>
          <w:rFonts w:ascii="Arial" w:hAnsi="Arial" w:cs="Arial"/>
          <w:sz w:val="28"/>
          <w:szCs w:val="28"/>
        </w:rPr>
        <w:t>within</w:t>
      </w:r>
      <w:r w:rsidR="00F21639">
        <w:rPr>
          <w:rFonts w:ascii="Arial" w:hAnsi="Arial" w:cs="Arial"/>
          <w:sz w:val="28"/>
          <w:szCs w:val="28"/>
        </w:rPr>
        <w:t xml:space="preserve"> each ensemble. </w:t>
      </w:r>
      <w:r w:rsidR="00C93162">
        <w:rPr>
          <w:rFonts w:ascii="Arial" w:hAnsi="Arial" w:cs="Arial"/>
          <w:sz w:val="28"/>
          <w:szCs w:val="28"/>
        </w:rPr>
        <w:t xml:space="preserve">The Kolmogorov-Smirnov test is </w:t>
      </w:r>
      <w:proofErr w:type="gramStart"/>
      <w:r w:rsidR="00C93162">
        <w:rPr>
          <w:rFonts w:ascii="Arial" w:hAnsi="Arial" w:cs="Arial"/>
          <w:sz w:val="28"/>
          <w:szCs w:val="28"/>
        </w:rPr>
        <w:t>parametric, and</w:t>
      </w:r>
      <w:proofErr w:type="gramEnd"/>
      <w:r w:rsidR="00C93162">
        <w:rPr>
          <w:rFonts w:ascii="Arial" w:hAnsi="Arial" w:cs="Arial"/>
          <w:sz w:val="28"/>
          <w:szCs w:val="28"/>
        </w:rPr>
        <w:t xml:space="preserve"> enables statistical significance testing. However, to </w:t>
      </w:r>
      <w:proofErr w:type="spellStart"/>
      <w:r w:rsidR="00C93162">
        <w:rPr>
          <w:rFonts w:ascii="Arial" w:hAnsi="Arial" w:cs="Arial"/>
          <w:sz w:val="28"/>
          <w:szCs w:val="28"/>
        </w:rPr>
        <w:t>compliment</w:t>
      </w:r>
      <w:proofErr w:type="spellEnd"/>
      <w:r w:rsidR="00C93162">
        <w:rPr>
          <w:rFonts w:ascii="Arial" w:hAnsi="Arial" w:cs="Arial"/>
          <w:sz w:val="28"/>
          <w:szCs w:val="28"/>
        </w:rPr>
        <w:t xml:space="preserve"> our comparison of consistency between data- and theory-driven analyses, we also computed the empirical null distributions for the KS statistics calculated with each ensemble and a computed the permutation test p-value as well.</w:t>
      </w:r>
    </w:p>
    <w:p w14:paraId="4FCDAA96" w14:textId="1C98C453" w:rsidR="00D17C78" w:rsidRDefault="00F21639" w:rsidP="00D17C78">
      <w:pPr>
        <w:ind w:firstLine="720"/>
        <w:rPr>
          <w:rFonts w:ascii="Arial" w:hAnsi="Arial" w:cs="Arial"/>
          <w:sz w:val="28"/>
          <w:szCs w:val="28"/>
        </w:rPr>
      </w:pPr>
      <w:r>
        <w:rPr>
          <w:rFonts w:ascii="Arial" w:hAnsi="Arial" w:cs="Arial"/>
          <w:sz w:val="28"/>
          <w:szCs w:val="28"/>
        </w:rPr>
        <w:t xml:space="preserve">Figure 2 shows </w:t>
      </w:r>
      <w:r w:rsidR="00D9778A">
        <w:rPr>
          <w:rFonts w:ascii="Arial" w:hAnsi="Arial" w:cs="Arial"/>
          <w:sz w:val="28"/>
          <w:szCs w:val="28"/>
        </w:rPr>
        <w:t xml:space="preserve">plots </w:t>
      </w:r>
      <w:r>
        <w:rPr>
          <w:rFonts w:ascii="Arial" w:hAnsi="Arial" w:cs="Arial"/>
          <w:sz w:val="28"/>
          <w:szCs w:val="28"/>
        </w:rPr>
        <w:t>the empirical cumulative distribution</w:t>
      </w:r>
      <w:r w:rsidR="0063236F">
        <w:rPr>
          <w:rFonts w:ascii="Arial" w:hAnsi="Arial" w:cs="Arial"/>
          <w:sz w:val="28"/>
          <w:szCs w:val="28"/>
        </w:rPr>
        <w:t xml:space="preserve"> </w:t>
      </w:r>
      <w:r w:rsidR="00D9778A">
        <w:rPr>
          <w:rFonts w:ascii="Arial" w:hAnsi="Arial" w:cs="Arial"/>
          <w:sz w:val="28"/>
          <w:szCs w:val="28"/>
        </w:rPr>
        <w:t xml:space="preserve">function </w:t>
      </w:r>
      <w:r>
        <w:rPr>
          <w:rFonts w:ascii="Arial" w:hAnsi="Arial" w:cs="Arial"/>
          <w:sz w:val="28"/>
          <w:szCs w:val="28"/>
        </w:rPr>
        <w:t>for each ensemble’s predictions for each of the two groups</w:t>
      </w:r>
      <w:r w:rsidR="00D17C78">
        <w:rPr>
          <w:rFonts w:ascii="Arial" w:hAnsi="Arial" w:cs="Arial"/>
          <w:sz w:val="28"/>
          <w:szCs w:val="28"/>
        </w:rPr>
        <w:t xml:space="preserve">. </w:t>
      </w:r>
      <w:r>
        <w:rPr>
          <w:rFonts w:ascii="Arial" w:hAnsi="Arial" w:cs="Arial"/>
          <w:sz w:val="28"/>
          <w:szCs w:val="28"/>
        </w:rPr>
        <w:t>Figure 3</w:t>
      </w:r>
      <w:r w:rsidR="0063236F">
        <w:rPr>
          <w:rFonts w:ascii="Arial" w:hAnsi="Arial" w:cs="Arial"/>
          <w:sz w:val="28"/>
          <w:szCs w:val="28"/>
        </w:rPr>
        <w:t xml:space="preserve"> plots the KS test statistic</w:t>
      </w:r>
      <w:r w:rsidR="00D9778A">
        <w:rPr>
          <w:rFonts w:ascii="Arial" w:hAnsi="Arial" w:cs="Arial"/>
          <w:sz w:val="28"/>
          <w:szCs w:val="28"/>
        </w:rPr>
        <w:t xml:space="preserve"> derived from comparing the two distributions</w:t>
      </w:r>
      <w:r w:rsidR="00C93162">
        <w:rPr>
          <w:rFonts w:ascii="Arial" w:hAnsi="Arial" w:cs="Arial"/>
          <w:sz w:val="28"/>
          <w:szCs w:val="28"/>
        </w:rPr>
        <w:t xml:space="preserve"> (between participant groups) within each ensemble</w:t>
      </w:r>
      <w:r w:rsidR="00D9778A">
        <w:rPr>
          <w:rFonts w:ascii="Arial" w:hAnsi="Arial" w:cs="Arial"/>
          <w:sz w:val="28"/>
          <w:szCs w:val="28"/>
        </w:rPr>
        <w:t>. Analogously to the plot of ROCAUC</w:t>
      </w:r>
      <w:r w:rsidR="0063236F">
        <w:rPr>
          <w:rFonts w:ascii="Arial" w:hAnsi="Arial" w:cs="Arial"/>
          <w:sz w:val="28"/>
          <w:szCs w:val="28"/>
        </w:rPr>
        <w:t>,</w:t>
      </w:r>
      <w:r w:rsidR="00D9778A">
        <w:rPr>
          <w:rFonts w:ascii="Arial" w:hAnsi="Arial" w:cs="Arial"/>
          <w:sz w:val="28"/>
          <w:szCs w:val="28"/>
        </w:rPr>
        <w:t xml:space="preserve"> the three plots in the top row of the figure show the KS statistic from the predicted values averaged across the 100-model ensemble while the bottom three plots show KS computed for each constituent model’s predictions.</w:t>
      </w:r>
      <w:r w:rsidR="0063236F">
        <w:rPr>
          <w:rFonts w:ascii="Arial" w:hAnsi="Arial" w:cs="Arial"/>
          <w:sz w:val="28"/>
          <w:szCs w:val="28"/>
        </w:rPr>
        <w:t xml:space="preserve"> The results show</w:t>
      </w:r>
      <w:r w:rsidR="00D9778A">
        <w:rPr>
          <w:rFonts w:ascii="Arial" w:hAnsi="Arial" w:cs="Arial"/>
          <w:sz w:val="28"/>
          <w:szCs w:val="28"/>
        </w:rPr>
        <w:t xml:space="preserve"> that 4 of the 6 ensemble</w:t>
      </w:r>
      <w:r w:rsidR="0063236F">
        <w:rPr>
          <w:rFonts w:ascii="Arial" w:hAnsi="Arial" w:cs="Arial"/>
          <w:sz w:val="28"/>
          <w:szCs w:val="28"/>
        </w:rPr>
        <w:t>s</w:t>
      </w:r>
      <w:r w:rsidR="00D9778A">
        <w:rPr>
          <w:rFonts w:ascii="Arial" w:hAnsi="Arial" w:cs="Arial"/>
          <w:sz w:val="28"/>
          <w:szCs w:val="28"/>
        </w:rPr>
        <w:t xml:space="preserve"> generated significantly different predictions for the two groups: both the GBM and GLM models using the unadjusted</w:t>
      </w:r>
      <w:r w:rsidR="00C93162">
        <w:rPr>
          <w:rFonts w:ascii="Arial" w:hAnsi="Arial" w:cs="Arial"/>
          <w:sz w:val="28"/>
          <w:szCs w:val="28"/>
        </w:rPr>
        <w:t xml:space="preserve"> and</w:t>
      </w:r>
      <w:r w:rsidR="00D9778A">
        <w:rPr>
          <w:rFonts w:ascii="Arial" w:hAnsi="Arial" w:cs="Arial"/>
          <w:sz w:val="28"/>
          <w:szCs w:val="28"/>
        </w:rPr>
        <w:t xml:space="preserve"> age-and-sex-adjusted</w:t>
      </w:r>
      <w:r w:rsidR="0063236F">
        <w:rPr>
          <w:rFonts w:ascii="Arial" w:hAnsi="Arial" w:cs="Arial"/>
          <w:sz w:val="28"/>
          <w:szCs w:val="28"/>
        </w:rPr>
        <w:t xml:space="preserve"> </w:t>
      </w:r>
      <w:r w:rsidR="00D9778A">
        <w:rPr>
          <w:rFonts w:ascii="Arial" w:hAnsi="Arial" w:cs="Arial"/>
          <w:sz w:val="28"/>
          <w:szCs w:val="28"/>
        </w:rPr>
        <w:t>brain volumes. This also implies that after adjusting for cranial volume, neither</w:t>
      </w:r>
      <w:r w:rsidR="009F2F28">
        <w:rPr>
          <w:rFonts w:ascii="Arial" w:hAnsi="Arial" w:cs="Arial"/>
          <w:sz w:val="28"/>
          <w:szCs w:val="28"/>
        </w:rPr>
        <w:t xml:space="preserve"> </w:t>
      </w:r>
      <w:r w:rsidR="00D9778A">
        <w:rPr>
          <w:rFonts w:ascii="Arial" w:hAnsi="Arial" w:cs="Arial"/>
          <w:sz w:val="28"/>
          <w:szCs w:val="28"/>
        </w:rPr>
        <w:t xml:space="preserve">ensemble </w:t>
      </w:r>
      <w:r w:rsidR="00C93162">
        <w:rPr>
          <w:rFonts w:ascii="Arial" w:hAnsi="Arial" w:cs="Arial"/>
          <w:sz w:val="28"/>
          <w:szCs w:val="28"/>
        </w:rPr>
        <w:t>successfully disting</w:t>
      </w:r>
      <w:r w:rsidR="00D9778A">
        <w:rPr>
          <w:rFonts w:ascii="Arial" w:hAnsi="Arial" w:cs="Arial"/>
          <w:sz w:val="28"/>
          <w:szCs w:val="28"/>
        </w:rPr>
        <w:t>uish</w:t>
      </w:r>
      <w:r w:rsidR="00C93162">
        <w:rPr>
          <w:rFonts w:ascii="Arial" w:hAnsi="Arial" w:cs="Arial"/>
          <w:sz w:val="28"/>
          <w:szCs w:val="28"/>
        </w:rPr>
        <w:t>ed</w:t>
      </w:r>
      <w:r w:rsidR="00D9778A">
        <w:rPr>
          <w:rFonts w:ascii="Arial" w:hAnsi="Arial" w:cs="Arial"/>
          <w:sz w:val="28"/>
          <w:szCs w:val="28"/>
        </w:rPr>
        <w:t xml:space="preserve"> the two groups </w:t>
      </w:r>
      <w:r w:rsidR="00C93162">
        <w:rPr>
          <w:rFonts w:ascii="Arial" w:hAnsi="Arial" w:cs="Arial"/>
          <w:sz w:val="28"/>
          <w:szCs w:val="28"/>
        </w:rPr>
        <w:t>more significantly</w:t>
      </w:r>
      <w:r w:rsidR="009F2F28">
        <w:rPr>
          <w:rFonts w:ascii="Arial" w:hAnsi="Arial" w:cs="Arial"/>
          <w:sz w:val="28"/>
          <w:szCs w:val="28"/>
        </w:rPr>
        <w:t xml:space="preserve"> than</w:t>
      </w:r>
      <w:r w:rsidR="00D9778A">
        <w:rPr>
          <w:rFonts w:ascii="Arial" w:hAnsi="Arial" w:cs="Arial"/>
          <w:sz w:val="28"/>
          <w:szCs w:val="28"/>
        </w:rPr>
        <w:t xml:space="preserve"> </w:t>
      </w:r>
      <w:r w:rsidR="00C93162">
        <w:rPr>
          <w:rFonts w:ascii="Arial" w:hAnsi="Arial" w:cs="Arial"/>
          <w:sz w:val="28"/>
          <w:szCs w:val="28"/>
        </w:rPr>
        <w:t xml:space="preserve">would be expected by </w:t>
      </w:r>
      <w:r w:rsidR="00D9778A">
        <w:rPr>
          <w:rFonts w:ascii="Arial" w:hAnsi="Arial" w:cs="Arial"/>
          <w:sz w:val="28"/>
          <w:szCs w:val="28"/>
        </w:rPr>
        <w:t xml:space="preserve">chance. </w:t>
      </w:r>
      <w:r w:rsidR="009F2F28">
        <w:rPr>
          <w:rFonts w:ascii="Arial" w:hAnsi="Arial" w:cs="Arial"/>
          <w:sz w:val="28"/>
          <w:szCs w:val="28"/>
        </w:rPr>
        <w:t xml:space="preserve">The greatest </w:t>
      </w:r>
      <w:r w:rsidR="00C93162">
        <w:rPr>
          <w:rFonts w:ascii="Arial" w:hAnsi="Arial" w:cs="Arial"/>
          <w:sz w:val="28"/>
          <w:szCs w:val="28"/>
        </w:rPr>
        <w:t xml:space="preserve">vertical </w:t>
      </w:r>
      <w:r w:rsidR="009F2F28">
        <w:rPr>
          <w:rFonts w:ascii="Arial" w:hAnsi="Arial" w:cs="Arial"/>
          <w:sz w:val="28"/>
          <w:szCs w:val="28"/>
        </w:rPr>
        <w:t xml:space="preserve">distance between the two distributions is generated by the GBM ensemble using unadjusted predictors (KS-statistic = .534, parametric p-value = </w:t>
      </w:r>
      <w:r w:rsidR="0027445F">
        <w:rPr>
          <w:rFonts w:ascii="Arial" w:hAnsi="Arial" w:cs="Arial"/>
          <w:sz w:val="28"/>
          <w:szCs w:val="28"/>
        </w:rPr>
        <w:t>.0002</w:t>
      </w:r>
      <w:r w:rsidR="009F2F28">
        <w:rPr>
          <w:rFonts w:ascii="Arial" w:hAnsi="Arial" w:cs="Arial"/>
          <w:sz w:val="28"/>
          <w:szCs w:val="28"/>
        </w:rPr>
        <w:t xml:space="preserve">, permutation p-value &lt; .001) followed by the GBM model using </w:t>
      </w:r>
      <w:r w:rsidR="004E213F">
        <w:rPr>
          <w:rFonts w:ascii="Arial" w:hAnsi="Arial" w:cs="Arial"/>
          <w:sz w:val="28"/>
          <w:szCs w:val="28"/>
        </w:rPr>
        <w:t>predictors adjusted for age and sex</w:t>
      </w:r>
      <w:r w:rsidR="009F2F28">
        <w:rPr>
          <w:rFonts w:ascii="Arial" w:hAnsi="Arial" w:cs="Arial"/>
          <w:sz w:val="28"/>
          <w:szCs w:val="28"/>
        </w:rPr>
        <w:t xml:space="preserve"> (KS = .472</w:t>
      </w:r>
      <w:r w:rsidR="0027445F">
        <w:rPr>
          <w:rFonts w:ascii="Arial" w:hAnsi="Arial" w:cs="Arial"/>
          <w:sz w:val="28"/>
          <w:szCs w:val="28"/>
        </w:rPr>
        <w:t xml:space="preserve">, parametric p-value = .0008, permutation p-value &lt; .001), </w:t>
      </w:r>
      <w:r w:rsidR="004E213F">
        <w:rPr>
          <w:rFonts w:ascii="Arial" w:hAnsi="Arial" w:cs="Arial"/>
          <w:sz w:val="28"/>
          <w:szCs w:val="28"/>
        </w:rPr>
        <w:t>the</w:t>
      </w:r>
      <w:r w:rsidR="0027445F">
        <w:rPr>
          <w:rFonts w:ascii="Arial" w:hAnsi="Arial" w:cs="Arial"/>
          <w:sz w:val="28"/>
          <w:szCs w:val="28"/>
        </w:rPr>
        <w:t xml:space="preserve"> GLM ensemble with unadjusted features (KS = .</w:t>
      </w:r>
      <w:r w:rsidR="004E213F">
        <w:rPr>
          <w:rFonts w:ascii="Arial" w:hAnsi="Arial" w:cs="Arial"/>
          <w:sz w:val="28"/>
          <w:szCs w:val="28"/>
        </w:rPr>
        <w:t>351</w:t>
      </w:r>
      <w:r w:rsidR="0027445F">
        <w:rPr>
          <w:rFonts w:ascii="Arial" w:hAnsi="Arial" w:cs="Arial"/>
          <w:sz w:val="28"/>
          <w:szCs w:val="28"/>
        </w:rPr>
        <w:t xml:space="preserve">, </w:t>
      </w:r>
      <w:r w:rsidR="004E213F">
        <w:rPr>
          <w:rFonts w:ascii="Arial" w:hAnsi="Arial" w:cs="Arial"/>
          <w:sz w:val="28"/>
          <w:szCs w:val="28"/>
        </w:rPr>
        <w:t>parametric p-value = .04</w:t>
      </w:r>
      <w:r w:rsidR="0027445F">
        <w:rPr>
          <w:rFonts w:ascii="Arial" w:hAnsi="Arial" w:cs="Arial"/>
          <w:sz w:val="28"/>
          <w:szCs w:val="28"/>
        </w:rPr>
        <w:t>,</w:t>
      </w:r>
      <w:r w:rsidR="004E213F">
        <w:rPr>
          <w:rFonts w:ascii="Arial" w:hAnsi="Arial" w:cs="Arial"/>
          <w:sz w:val="28"/>
          <w:szCs w:val="28"/>
        </w:rPr>
        <w:t xml:space="preserve"> permutation p-value = .03</w:t>
      </w:r>
      <w:r w:rsidR="009F2F28">
        <w:rPr>
          <w:rFonts w:ascii="Arial" w:hAnsi="Arial" w:cs="Arial"/>
          <w:sz w:val="28"/>
          <w:szCs w:val="28"/>
        </w:rPr>
        <w:t>)</w:t>
      </w:r>
      <w:r w:rsidR="004E213F">
        <w:rPr>
          <w:rFonts w:ascii="Arial" w:hAnsi="Arial" w:cs="Arial"/>
          <w:sz w:val="28"/>
          <w:szCs w:val="28"/>
        </w:rPr>
        <w:t xml:space="preserve"> and finally the GLM model using predictors adjusted for age and sex (KS = .341, parametric p-value = .03, permutation p-value = .03)</w:t>
      </w:r>
      <w:r w:rsidR="009F2F28">
        <w:rPr>
          <w:rFonts w:ascii="Arial" w:hAnsi="Arial" w:cs="Arial"/>
          <w:sz w:val="28"/>
          <w:szCs w:val="28"/>
        </w:rPr>
        <w:t xml:space="preserve">. </w:t>
      </w:r>
    </w:p>
    <w:p w14:paraId="64007E26" w14:textId="09660C0D" w:rsidR="00D17C78" w:rsidRDefault="00C93162" w:rsidP="00D17C78">
      <w:pPr>
        <w:ind w:firstLine="720"/>
        <w:rPr>
          <w:rFonts w:ascii="Arial" w:hAnsi="Arial" w:cs="Arial"/>
          <w:sz w:val="28"/>
          <w:szCs w:val="28"/>
        </w:rPr>
      </w:pPr>
      <w:r>
        <w:rPr>
          <w:rFonts w:ascii="Arial" w:hAnsi="Arial" w:cs="Arial"/>
          <w:b/>
          <w:bCs/>
          <w:i/>
          <w:iCs/>
          <w:noProof/>
          <w:sz w:val="28"/>
          <w:szCs w:val="28"/>
        </w:rPr>
        <w:lastRenderedPageBreak/>
        <mc:AlternateContent>
          <mc:Choice Requires="wps">
            <w:drawing>
              <wp:anchor distT="0" distB="0" distL="114300" distR="114300" simplePos="0" relativeHeight="251674624" behindDoc="0" locked="0" layoutInCell="1" allowOverlap="1" wp14:anchorId="23008EFF" wp14:editId="74C59EDD">
                <wp:simplePos x="0" y="0"/>
                <wp:positionH relativeFrom="column">
                  <wp:posOffset>6068060</wp:posOffset>
                </wp:positionH>
                <wp:positionV relativeFrom="paragraph">
                  <wp:posOffset>2677160</wp:posOffset>
                </wp:positionV>
                <wp:extent cx="568960" cy="29464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68960" cy="294640"/>
                        </a:xfrm>
                        <a:prstGeom prst="rect">
                          <a:avLst/>
                        </a:prstGeom>
                        <a:noFill/>
                        <a:ln w="6350">
                          <a:noFill/>
                        </a:ln>
                      </wps:spPr>
                      <wps:txbx>
                        <w:txbxContent>
                          <w:p w14:paraId="58893EDB" w14:textId="693180ED" w:rsidR="00C93162" w:rsidRDefault="00C93162" w:rsidP="00C93162">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008EFF" id="_x0000_t202" coordsize="21600,21600" o:spt="202" path="m,l,21600r21600,l21600,xe">
                <v:stroke joinstyle="miter"/>
                <v:path gradientshapeok="t" o:connecttype="rect"/>
              </v:shapetype>
              <v:shape id="Text Box 12" o:spid="_x0000_s1026" type="#_x0000_t202" style="position:absolute;left:0;text-align:left;margin-left:477.8pt;margin-top:210.8pt;width:44.8pt;height:23.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s/nLQIAAFIEAAAOAAAAZHJzL2Uyb0RvYy54bWysVE2P2jAQvVfqf7B8LwEKdEGEFd0VVSW0&#13;&#10;uxJUezaOA5ESj2sbEvrr++wEFm17qnpxxjPj+XhvJvP7pirZSVlXkE75oNfnTGlJWaH3Kf+xXX26&#13;&#10;48x5oTNRklYpPyvH7xcfP8xrM1NDOlCZKcsQRLtZbVJ+8N7MksTJg6qE65FRGsacbCU8rnafZFbU&#13;&#10;iF6VybDfnyQ12cxYkso5aB9bI1/E+HmupH/Oc6c8K1OO2nw8bTx34UwWczHbW2EOhezKEP9QRSUK&#13;&#10;jaTXUI/CC3a0xR+hqkJacpT7nqQqoTwvpIo9oJtB/103m4MwKvYCcJy5wuT+X1j5dHqxrMjA3ZAz&#13;&#10;LSpwtFWNZ1+pYVABn9q4Gdw2Bo6+gR6+F72DMrTd5LYKXzTEYAfS5yu6IZqEcjy5m05gkTANp6PJ&#13;&#10;KKKfvD021vlviioWhJRbkBcxFae18ygErheXkEvTqijLSGCpWZ3yyedxPz64WvCi1HgYWmhLDZJv&#13;&#10;dk3X146yM9qy1A6GM3JVIPlaOP8iLCYB9WK6/TOOvCQkoU7i7ED219/0wR8EwcpZjclKuft5FFZx&#13;&#10;Vn7XoG46GKF15uNlNP4yxMXeWna3Fn2sHgjDO8AeGRnF4O/Li5hbql6xBMuQFSahJXKn3F/EB9/O&#13;&#10;O5ZIquUyOmH4jPBrvTEyhA5wBmi3zauwpsPfg7gnusygmL2jofVtiVgePeVF5CgA3KLa4Y7BjdR1&#13;&#10;SxY24/Yevd5+BYvfAAAA//8DAFBLAwQUAAYACAAAACEArmus+eUAAAARAQAADwAAAGRycy9kb3du&#13;&#10;cmV2LnhtbExPO0/DMBDekfgP1iGxUbtRE4U0TlUFVUgIhpYu3Zz4mkSN7RC7beDXc51gOd3ju++R&#13;&#10;rybTswuOvnNWwnwmgKGtne5sI2H/uXlKgfmgrFa9syjhGz2sivu7XGXaXe0WL7vQMCKxPlMS2hCG&#13;&#10;jHNft2iUn7kBLd2ObjQq0Dg2XI/qSuSm55EQCTeqs6TQqgHLFuvT7mwkvJWbD7WtIpP+9OXr+3E9&#13;&#10;fO0PsZSPD9PLksp6CSzgFP4+4JaB/ENBxip3ttqzXsJzHCcElbCI5tTcEGIRR8AqWiWpAF7k/H+S&#13;&#10;4hcAAP//AwBQSwECLQAUAAYACAAAACEAtoM4kv4AAADhAQAAEwAAAAAAAAAAAAAAAAAAAAAAW0Nv&#13;&#10;bnRlbnRfVHlwZXNdLnhtbFBLAQItABQABgAIAAAAIQA4/SH/1gAAAJQBAAALAAAAAAAAAAAAAAAA&#13;&#10;AC8BAABfcmVscy8ucmVsc1BLAQItABQABgAIAAAAIQBUus/nLQIAAFIEAAAOAAAAAAAAAAAAAAAA&#13;&#10;AC4CAABkcnMvZTJvRG9jLnhtbFBLAQItABQABgAIAAAAIQCua6z55QAAABEBAAAPAAAAAAAAAAAA&#13;&#10;AAAAAIcEAABkcnMvZG93bnJldi54bWxQSwUGAAAAAAQABADzAAAAmQUAAAAA&#13;&#10;" filled="f" stroked="f" strokeweight=".5pt">
                <v:textbox>
                  <w:txbxContent>
                    <w:p w14:paraId="58893EDB" w14:textId="693180ED" w:rsidR="00C93162" w:rsidRDefault="00C93162" w:rsidP="00C93162">
                      <w:r>
                        <w:t>*</w:t>
                      </w:r>
                    </w:p>
                  </w:txbxContent>
                </v:textbox>
              </v:shape>
            </w:pict>
          </mc:Fallback>
        </mc:AlternateContent>
      </w:r>
      <w:r>
        <w:rPr>
          <w:rFonts w:ascii="Arial" w:hAnsi="Arial" w:cs="Arial"/>
          <w:b/>
          <w:bCs/>
          <w:i/>
          <w:iCs/>
          <w:noProof/>
          <w:sz w:val="28"/>
          <w:szCs w:val="28"/>
        </w:rPr>
        <mc:AlternateContent>
          <mc:Choice Requires="wps">
            <w:drawing>
              <wp:anchor distT="0" distB="0" distL="114300" distR="114300" simplePos="0" relativeHeight="251672576" behindDoc="0" locked="0" layoutInCell="1" allowOverlap="1" wp14:anchorId="20237A19" wp14:editId="255D8135">
                <wp:simplePos x="0" y="0"/>
                <wp:positionH relativeFrom="column">
                  <wp:posOffset>1932940</wp:posOffset>
                </wp:positionH>
                <wp:positionV relativeFrom="paragraph">
                  <wp:posOffset>2616200</wp:posOffset>
                </wp:positionV>
                <wp:extent cx="568960" cy="29464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68960" cy="294640"/>
                        </a:xfrm>
                        <a:prstGeom prst="rect">
                          <a:avLst/>
                        </a:prstGeom>
                        <a:noFill/>
                        <a:ln w="6350">
                          <a:noFill/>
                        </a:ln>
                      </wps:spPr>
                      <wps:txbx>
                        <w:txbxContent>
                          <w:p w14:paraId="166B11FD" w14:textId="219CC0E8" w:rsidR="00C93162" w:rsidRDefault="00C93162" w:rsidP="00C93162">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37A19" id="Text Box 11" o:spid="_x0000_s1027" type="#_x0000_t202" style="position:absolute;left:0;text-align:left;margin-left:152.2pt;margin-top:206pt;width:44.8pt;height:2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U1ADLgIAAFkEAAAOAAAAZHJzL2Uyb0RvYy54bWysVMGO2jAQvVfqP1i+lwAFuiDCiu6KqhLa&#13;&#10;XQmqPRvHIZESj2sbEvr1fXaARdueql6c8czzeOa9ceb3bV2xo7KuJJ3yQa/PmdKSslLvU/5ju/p0&#13;&#10;x5nzQmeiIq1SflKO3y8+fpg3ZqaGVFCVKcuQRLtZY1JeeG9mSeJkoWrhemSURjAnWwuPrd0nmRUN&#13;&#10;stdVMuz3J0lDNjOWpHIO3scuyBcxf54r6Z/z3CnPqpSjNh9XG9ddWJPFXMz2VpiilOcyxD9UUYtS&#13;&#10;49JrqkfhBTvY8o9UdSktOcp9T1KdUJ6XUsUe0M2g/66bTSGMir2AHGeuNLn/l1Y+HV8sKzNoN+BM&#13;&#10;ixoabVXr2VdqGVzgpzFuBtjGAOhb+IG9+B2coe02t3X4oiGGOJg+XdkN2SSc48nddIKIRGg4HU1G&#13;&#10;kf3k7bCxzn9TVLNgpNxCvMipOK6dRyGAXiDhLk2rsqqigJVmTconn8f9eOAawYlK42BooSs1WL7d&#13;&#10;tV3LlzZ2lJ3QnaVuPpyRqxI1rIXzL8JiIFA2htw/Y8krwl10tjgryP76mz/goROinDUYsJS7nwdh&#13;&#10;FWfVdw0Fp4MRGGA+bkbjL0Ns7G1kdxvRh/qBMMMQCdVFM+B9dTFzS/Ur3sIy3IqQ0BJ3p9xfzAff&#13;&#10;jT3eklTLZQRhBo3wa70xMqQOrAaGt+2rsOYsg4d+T3QZRTF7p0aH7fRYHjzlZZQq8NyxeqYf8xsV&#13;&#10;PL+18EBu9xH19kdY/AYAAP//AwBQSwMEFAAGAAgAAAAhAAdj+eDkAAAAEAEAAA8AAABkcnMvZG93&#13;&#10;bnJldi54bWxMT8lOwzAQvSPxD9YgcaNOUxeFNE5VBVVICA4tvXCbxG4S4SXEbhv4eoYTXEazvHlL&#13;&#10;sZ6sYWc9ht47CfNZAky7xqvetRIOb9u7DFiI6BQa77SELx1gXV5fFZgrf3E7fd7HlhGJCzlK6GIc&#13;&#10;cs5D02mLYeYH7eh29KPFSOPYcjXihcit4WmS3HOLvSOFDgdddbr52J+shOdq+4q7OrXZt6meXo6b&#13;&#10;4fPwvpTy9mZ6XFHZrIBFPcW/D/jNQP6hJGO1PzkVmJGwSIQgqAQxTykZIRYPgpqaNstMAC8L/j9I&#13;&#10;+QMAAP//AwBQSwECLQAUAAYACAAAACEAtoM4kv4AAADhAQAAEwAAAAAAAAAAAAAAAAAAAAAAW0Nv&#13;&#10;bnRlbnRfVHlwZXNdLnhtbFBLAQItABQABgAIAAAAIQA4/SH/1gAAAJQBAAALAAAAAAAAAAAAAAAA&#13;&#10;AC8BAABfcmVscy8ucmVsc1BLAQItABQABgAIAAAAIQAcU1ADLgIAAFkEAAAOAAAAAAAAAAAAAAAA&#13;&#10;AC4CAABkcnMvZTJvRG9jLnhtbFBLAQItABQABgAIAAAAIQAHY/ng5AAAABABAAAPAAAAAAAAAAAA&#13;&#10;AAAAAIgEAABkcnMvZG93bnJldi54bWxQSwUGAAAAAAQABADzAAAAmQUAAAAA&#13;&#10;" filled="f" stroked="f" strokeweight=".5pt">
                <v:textbox>
                  <w:txbxContent>
                    <w:p w14:paraId="166B11FD" w14:textId="219CC0E8" w:rsidR="00C93162" w:rsidRDefault="00C93162" w:rsidP="00C93162">
                      <w:r>
                        <w:t>*</w:t>
                      </w:r>
                    </w:p>
                  </w:txbxContent>
                </v:textbox>
              </v:shape>
            </w:pict>
          </mc:Fallback>
        </mc:AlternateContent>
      </w:r>
      <w:r>
        <w:rPr>
          <w:rFonts w:ascii="Arial" w:hAnsi="Arial" w:cs="Arial"/>
          <w:b/>
          <w:bCs/>
          <w:i/>
          <w:iCs/>
          <w:noProof/>
          <w:sz w:val="28"/>
          <w:szCs w:val="28"/>
        </w:rPr>
        <mc:AlternateContent>
          <mc:Choice Requires="wps">
            <w:drawing>
              <wp:anchor distT="0" distB="0" distL="114300" distR="114300" simplePos="0" relativeHeight="251676672" behindDoc="0" locked="0" layoutInCell="1" allowOverlap="1" wp14:anchorId="49391878" wp14:editId="1CD722B3">
                <wp:simplePos x="0" y="0"/>
                <wp:positionH relativeFrom="column">
                  <wp:posOffset>5875020</wp:posOffset>
                </wp:positionH>
                <wp:positionV relativeFrom="paragraph">
                  <wp:posOffset>1000760</wp:posOffset>
                </wp:positionV>
                <wp:extent cx="568960" cy="29464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68960" cy="294640"/>
                        </a:xfrm>
                        <a:prstGeom prst="rect">
                          <a:avLst/>
                        </a:prstGeom>
                        <a:noFill/>
                        <a:ln w="6350">
                          <a:noFill/>
                        </a:ln>
                      </wps:spPr>
                      <wps:txbx>
                        <w:txbxContent>
                          <w:p w14:paraId="646EA93A" w14:textId="77777777" w:rsidR="00C93162" w:rsidRDefault="00C93162" w:rsidP="00C93162">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91878" id="Text Box 13" o:spid="_x0000_s1028" type="#_x0000_t202" style="position:absolute;left:0;text-align:left;margin-left:462.6pt;margin-top:78.8pt;width:44.8pt;height:23.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2aW/MAIAAFkEAAAOAAAAZHJzL2Uyb0RvYy54bWysVN9v2jAQfp+0/8Hy+whQYAURKtaKaVLV&#13;&#10;VoKqz8ZxSKTE59mGhP31++wARd2epr0457vz/fi+u8zv2rpiB2VdSTrlg16fM6UlZaXepfx1s/py&#13;&#10;y5nzQmeiIq1SflSO3y0+f5o3ZqaGVFCVKcsQRLtZY1JeeG9mSeJkoWrhemSUhjEnWwuPq90lmRUN&#13;&#10;otdVMuz3J0lDNjOWpHIO2ofOyBcxfp4r6Z/z3CnPqpSjNh9PG89tOJPFXMx2VpiilKcyxD9UUYtS&#13;&#10;I+kl1IPwgu1t+UeoupSWHOW+J6lOKM9LqWIP6GbQ/9DNuhBGxV4AjjMXmNz/CyufDi+WlRm4u+FM&#13;&#10;ixocbVTr2TdqGVTApzFuBre1gaNvoYfvWe+gDG23ua3DFw0x2IH08YJuiCahHE9upxNYJEzD6Wgy&#13;&#10;iugn74+Ndf67opoFIeUW5EVMxeHReRQC17NLyKVpVVZVJLDSrEn55Gbcjw8uFryoNB6GFrpSg+Tb&#13;&#10;bRtbHp7b2FJ2RHeWuvlwRq5K1PAonH8RFgOBsjHk/hlHXhFy0UnirCD762/64A+eYOWswYCl3P3c&#13;&#10;C6s4q35oMDgdjIAA8/EyGn8d4mKvLdtri97X94QZHmCdjIxi8PfVWcwt1W/YhWXICpPQErlT7s/i&#13;&#10;ve/GHrsk1XIZnTCDRvhHvTYyhA6oBoQ37Zuw5kSDB39PdB5FMfvARufb8bHce8rLSFXAuUP1BD/m&#13;&#10;NzJ42rWwINf36PX+R1j8BgAA//8DAFBLAwQUAAYACAAAACEAtFVYEucAAAARAQAADwAAAGRycy9k&#13;&#10;b3ducmV2LnhtbEyPT0/CQBDF7yZ+h82YeJNdGopYuiWkhpgYOYBcvG27Q9u4f2p3geqndzjpZZLJ&#13;&#10;e/Pm/fLVaA074xA67yRMJwIYutrrzjUSDu+bhwWwEJXTyniHEr4xwKq4vclVpv3F7fC8jw2jEBcy&#13;&#10;JaGNsc84D3WLVoWJ79GRdvSDVZHWoeF6UBcKt4YnQsy5VZ2jD63qsWyx/tyfrITXcrNVuyqxix9T&#13;&#10;vrwd1/3X4SOV8v5ufF7SWC+BRRzj3wVcGag/FFSs8ienAzMSnpI0ISsJ6eMc2NUhpjNCqiQkYiaA&#13;&#10;Fzn/T1L8AgAA//8DAFBLAQItABQABgAIAAAAIQC2gziS/gAAAOEBAAATAAAAAAAAAAAAAAAAAAAA&#13;&#10;AABbQ29udGVudF9UeXBlc10ueG1sUEsBAi0AFAAGAAgAAAAhADj9If/WAAAAlAEAAAsAAAAAAAAA&#13;&#10;AAAAAAAALwEAAF9yZWxzLy5yZWxzUEsBAi0AFAAGAAgAAAAhAHfZpb8wAgAAWQQAAA4AAAAAAAAA&#13;&#10;AAAAAAAALgIAAGRycy9lMm9Eb2MueG1sUEsBAi0AFAAGAAgAAAAhALRVWBLnAAAAEQEAAA8AAAAA&#13;&#10;AAAAAAAAAAAAigQAAGRycy9kb3ducmV2LnhtbFBLBQYAAAAABAAEAPMAAACeBQAAAAA=&#13;&#10;" filled="f" stroked="f" strokeweight=".5pt">
                <v:textbox>
                  <w:txbxContent>
                    <w:p w14:paraId="646EA93A" w14:textId="77777777" w:rsidR="00C93162" w:rsidRDefault="00C93162" w:rsidP="00C93162">
                      <w:r>
                        <w:t>***</w:t>
                      </w:r>
                    </w:p>
                  </w:txbxContent>
                </v:textbox>
              </v:shape>
            </w:pict>
          </mc:Fallback>
        </mc:AlternateContent>
      </w:r>
      <w:r>
        <w:rPr>
          <w:rFonts w:ascii="Arial" w:hAnsi="Arial" w:cs="Arial"/>
          <w:b/>
          <w:bCs/>
          <w:i/>
          <w:iCs/>
          <w:noProof/>
          <w:sz w:val="28"/>
          <w:szCs w:val="28"/>
        </w:rPr>
        <mc:AlternateContent>
          <mc:Choice Requires="wps">
            <w:drawing>
              <wp:anchor distT="0" distB="0" distL="114300" distR="114300" simplePos="0" relativeHeight="251668480" behindDoc="0" locked="0" layoutInCell="1" allowOverlap="1" wp14:anchorId="647B5740" wp14:editId="1CA2E22E">
                <wp:simplePos x="0" y="0"/>
                <wp:positionH relativeFrom="column">
                  <wp:posOffset>1767840</wp:posOffset>
                </wp:positionH>
                <wp:positionV relativeFrom="paragraph">
                  <wp:posOffset>1000760</wp:posOffset>
                </wp:positionV>
                <wp:extent cx="568960" cy="294640"/>
                <wp:effectExtent l="0" t="0" r="0" b="0"/>
                <wp:wrapNone/>
                <wp:docPr id="9" name="Text Box 9"/>
                <wp:cNvGraphicFramePr/>
                <a:graphic xmlns:a="http://schemas.openxmlformats.org/drawingml/2006/main">
                  <a:graphicData uri="http://schemas.microsoft.com/office/word/2010/wordprocessingShape">
                    <wps:wsp>
                      <wps:cNvSpPr txBox="1"/>
                      <wps:spPr>
                        <a:xfrm>
                          <a:off x="0" y="0"/>
                          <a:ext cx="568960" cy="294640"/>
                        </a:xfrm>
                        <a:prstGeom prst="rect">
                          <a:avLst/>
                        </a:prstGeom>
                        <a:noFill/>
                        <a:ln w="6350">
                          <a:noFill/>
                        </a:ln>
                      </wps:spPr>
                      <wps:txbx>
                        <w:txbxContent>
                          <w:p w14:paraId="4336123D" w14:textId="6C43CE79" w:rsidR="00C93162" w:rsidRDefault="00C93162">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B5740" id="Text Box 9" o:spid="_x0000_s1029" type="#_x0000_t202" style="position:absolute;left:0;text-align:left;margin-left:139.2pt;margin-top:78.8pt;width:44.8pt;height:23.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jOVMAIAAFcEAAAOAAAAZHJzL2Uyb0RvYy54bWysVN9v2jAQfp+0/8Hy+whQYCUiVKwV06Sq&#13;&#10;rQRVn41jk0i2z7MNCfvrd3YIRd2epr0457vz/fi+uyzuWq3IUThfgynoaDCkRBgOZW32BX3drr/c&#13;&#10;UuIDMyVTYERBT8LTu+XnT4vG5mIMFahSOIJBjM8bW9AqBJtnmeeV0MwPwAqDRglOs4BXt89KxxqM&#13;&#10;rlU2Hg5nWQOutA648B61D52RLlN8KQUPz1J6EYgqKNYW0unSuYtntlywfO+YrWp+LoP9QxWa1QaT&#13;&#10;XkI9sMDIwdV/hNI1d+BBhgEHnYGUNRepB+xmNPzQzaZiVqReEBxvLzD5/xeWPx1fHKnLgs4pMUwj&#13;&#10;RVvRBvINWjKP6DTW5+i0segWWlQjy73eozI23Uqn4xfbIWhHnE8XbGMwjsrp7HY+QwtH03g+mU0S&#13;&#10;9tn7Y+t8+C5AkygU1CF1CVF2fPQBC0HX3iXmMrCulUr0KUOags5upsP04GLBF8rgw9hCV2qUQrtr&#13;&#10;U8M3fRs7KE/YnYNuOrzl6xpreGQ+vDCH44Bl44iHZzykAswFZ4mSCtyvv+mjP7KEVkoaHK+C+p8H&#13;&#10;5gQl6odB/uajCSJAQrpMpl/HeHHXlt21xRz0PeAEj3CZLE9i9A+qF6UD/YabsIpZ0cQMx9wFDb14&#13;&#10;H7qhx03iYrVKTjiBloVHs7E8ho6oRoS37Rtz9kxDQP6eoB9Eln9go/Pt+FgdAsg6URVx7lA9w4/T&#13;&#10;mxg8b1pcj+t78nr/Hyx/AwAA//8DAFBLAwQUAAYACAAAACEAjcwLEeYAAAAQAQAADwAAAGRycy9k&#13;&#10;b3ducmV2LnhtbEyPzU7DMBCE70i8g7VI3KhNaNMojVNVQRUSgkNLL9w2sZtE+CfEbht4epYTXFZa&#13;&#10;fbOzM8V6soad9Rh67yTczwQw7RqvetdKOLxt7zJgIaJTaLzTEr50gHV5fVVgrvzF7fR5H1tGJi7k&#13;&#10;KKGLccg5D02nLYaZH7QjdvSjxUjr2HI14oXMreGJECm32Dv60OGgq043H/uTlfBcbV9xVyc2+zbV&#13;&#10;08txM3we3hdS3t5MjysamxWwqKf4dwG/HSg/lBSs9ienAjMSkmU2JymBxTIFRoqHNKOKNSExF8DL&#13;&#10;gv8vUv4AAAD//wMAUEsBAi0AFAAGAAgAAAAhALaDOJL+AAAA4QEAABMAAAAAAAAAAAAAAAAAAAAA&#13;&#10;AFtDb250ZW50X1R5cGVzXS54bWxQSwECLQAUAAYACAAAACEAOP0h/9YAAACUAQAACwAAAAAAAAAA&#13;&#10;AAAAAAAvAQAAX3JlbHMvLnJlbHNQSwECLQAUAAYACAAAACEAW/4zlTACAABXBAAADgAAAAAAAAAA&#13;&#10;AAAAAAAuAgAAZHJzL2Uyb0RvYy54bWxQSwECLQAUAAYACAAAACEAjcwLEeYAAAAQAQAADwAAAAAA&#13;&#10;AAAAAAAAAACKBAAAZHJzL2Rvd25yZXYueG1sUEsFBgAAAAAEAAQA8wAAAJ0FAAAAAA==&#13;&#10;" filled="f" stroked="f" strokeweight=".5pt">
                <v:textbox>
                  <w:txbxContent>
                    <w:p w14:paraId="4336123D" w14:textId="6C43CE79" w:rsidR="00C93162" w:rsidRDefault="00C93162">
                      <w:r>
                        <w:t>***</w:t>
                      </w:r>
                    </w:p>
                  </w:txbxContent>
                </v:textbox>
              </v:shape>
            </w:pict>
          </mc:Fallback>
        </mc:AlternateContent>
      </w:r>
      <w:r>
        <w:rPr>
          <w:rFonts w:ascii="Arial" w:hAnsi="Arial" w:cs="Arial"/>
          <w:b/>
          <w:bCs/>
          <w:i/>
          <w:iCs/>
          <w:noProof/>
          <w:sz w:val="28"/>
          <w:szCs w:val="28"/>
        </w:rPr>
        <mc:AlternateContent>
          <mc:Choice Requires="wps">
            <w:drawing>
              <wp:anchor distT="0" distB="0" distL="114300" distR="114300" simplePos="0" relativeHeight="251665408" behindDoc="0" locked="0" layoutInCell="1" allowOverlap="1" wp14:anchorId="0166362F" wp14:editId="2B9DBCD9">
                <wp:simplePos x="0" y="0"/>
                <wp:positionH relativeFrom="column">
                  <wp:posOffset>6068060</wp:posOffset>
                </wp:positionH>
                <wp:positionV relativeFrom="paragraph">
                  <wp:posOffset>2362200</wp:posOffset>
                </wp:positionV>
                <wp:extent cx="0" cy="609600"/>
                <wp:effectExtent l="12700" t="0" r="12700" b="12700"/>
                <wp:wrapNone/>
                <wp:docPr id="7" name="Straight Connector 7"/>
                <wp:cNvGraphicFramePr/>
                <a:graphic xmlns:a="http://schemas.openxmlformats.org/drawingml/2006/main">
                  <a:graphicData uri="http://schemas.microsoft.com/office/word/2010/wordprocessingShape">
                    <wps:wsp>
                      <wps:cNvCnPr/>
                      <wps:spPr>
                        <a:xfrm>
                          <a:off x="0" y="0"/>
                          <a:ext cx="0" cy="609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704E47E" id="Straight Connector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77.8pt,186pt" to="477.8pt,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rujytwEAALYDAAAOAAAAZHJzL2Uyb0RvYy54bWysU8tu2zAQvBfIPxC8x5JdwGkFyzk4aC5F&#13;&#10;azTNBzDU0iLCF5asJf99l5StBG2RQ5ELxSVndneGq83taA07AkbtXcuXi5ozcNJ32h1a/vjzy/Un&#13;&#10;zmISrhPGO2j5CSK/3V592AyhgZXvvekAGSVxsRlCy/uUQlNVUfZgRVz4AI4ulUcrEoV4qDoUA2W3&#13;&#10;plrV9boaPHYBvYQY6fRuuuTbkl8pkOm7UhESMy2n3lJZsaxPea22G9EcUIRey3Mb4j+6sEI7Kjqn&#13;&#10;uhNJsF+o/0pltUQfvUoL6W3lldISigZSs6z/UPPQiwBFC5kTw2xTfL+08ttxj0x3Lb/hzAlLT/SQ&#13;&#10;UOhDn9jOO0cGemQ32achxIbgO7fHcxTDHrPoUaHNX5LDxuLtafYWxsTkdCjpdF1/XtfF9uqFFzCm&#13;&#10;e/CW5U3LjXZZtWjE8WtMVIugFwgFuY+pctmlk4EMNu4HKFJCtT4Wdpkh2BlkR0Gv3z0vswrKVZCZ&#13;&#10;orQxM6l+m3TGZhqUuZqJq7eJM7pU9C7NRKudx3+R03hpVU34i+pJa5b95LtTeYdiBw1HUXYe5Dx9&#13;&#10;r+NCf/ndtr8BAAD//wMAUEsDBBQABgAIAAAAIQDn9Omf5QAAABABAAAPAAAAZHJzL2Rvd25yZXYu&#13;&#10;eG1sTI9BT8MwDIXvSPyHyEhc0JYy1m50TScE4tBJILFNnLPGawuNUzVZV/49RhzgYsn28/P7svVo&#13;&#10;WzFg7xtHCm6nEQik0pmGKgX73fNkCcIHTUa3jlDBF3pY55cXmU6NO9MbDttQCTYhn2oFdQhdKqUv&#13;&#10;a7TaT12HxLuj660O3PaVNL0+s7lt5SyKEml1Q/yh1h0+1lh+bk9WwUfxXlTxzaI5vs7jjd4N8QsN&#13;&#10;hVLXV+PTisvDCkTAMfxdwA8D54ecgx3ciYwXrYL7OE5YquBuMWMyVvxODgrmyTICmWfyP0j+DQAA&#13;&#10;//8DAFBLAQItABQABgAIAAAAIQC2gziS/gAAAOEBAAATAAAAAAAAAAAAAAAAAAAAAABbQ29udGVu&#13;&#10;dF9UeXBlc10ueG1sUEsBAi0AFAAGAAgAAAAhADj9If/WAAAAlAEAAAsAAAAAAAAAAAAAAAAALwEA&#13;&#10;AF9yZWxzLy5yZWxzUEsBAi0AFAAGAAgAAAAhALeu6PK3AQAAtgMAAA4AAAAAAAAAAAAAAAAALgIA&#13;&#10;AGRycy9lMm9Eb2MueG1sUEsBAi0AFAAGAAgAAAAhAOf06Z/lAAAAEAEAAA8AAAAAAAAAAAAAAAAA&#13;&#10;EQQAAGRycy9kb3ducmV2LnhtbFBLBQYAAAAABAAEAPMAAAAjBQAAAAA=&#13;&#10;" strokecolor="black [3200]" strokeweight="1.5pt">
                <v:stroke joinstyle="miter"/>
              </v:line>
            </w:pict>
          </mc:Fallback>
        </mc:AlternateContent>
      </w:r>
      <w:r>
        <w:rPr>
          <w:rFonts w:ascii="Arial" w:hAnsi="Arial" w:cs="Arial"/>
          <w:b/>
          <w:bCs/>
          <w:i/>
          <w:iCs/>
          <w:noProof/>
          <w:sz w:val="28"/>
          <w:szCs w:val="28"/>
        </w:rPr>
        <mc:AlternateContent>
          <mc:Choice Requires="wps">
            <w:drawing>
              <wp:anchor distT="0" distB="0" distL="114300" distR="114300" simplePos="0" relativeHeight="251663360" behindDoc="0" locked="0" layoutInCell="1" allowOverlap="1" wp14:anchorId="76E46DE4" wp14:editId="74A8D69B">
                <wp:simplePos x="0" y="0"/>
                <wp:positionH relativeFrom="column">
                  <wp:posOffset>1935480</wp:posOffset>
                </wp:positionH>
                <wp:positionV relativeFrom="paragraph">
                  <wp:posOffset>2362200</wp:posOffset>
                </wp:positionV>
                <wp:extent cx="0" cy="609600"/>
                <wp:effectExtent l="12700" t="0" r="12700" b="12700"/>
                <wp:wrapNone/>
                <wp:docPr id="6" name="Straight Connector 6"/>
                <wp:cNvGraphicFramePr/>
                <a:graphic xmlns:a="http://schemas.openxmlformats.org/drawingml/2006/main">
                  <a:graphicData uri="http://schemas.microsoft.com/office/word/2010/wordprocessingShape">
                    <wps:wsp>
                      <wps:cNvCnPr/>
                      <wps:spPr>
                        <a:xfrm>
                          <a:off x="0" y="0"/>
                          <a:ext cx="0" cy="609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85868A6"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52.4pt,186pt" to="152.4pt,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2w5tgEAALYDAAAOAAAAZHJzL2Uyb0RvYy54bWysU8tu2zAQvBfIPxC815IdQGgFyzk4aC5B&#13;&#10;azTtBzDU0iLKF5asJf99l5StFGmRQ9ELxSVndneGq+3dZA07AUbtXcfXq5ozcNL32h07/v3bp/cf&#13;&#10;OItJuF4Y76DjZ4j8bnfzbjuGFjZ+8KYHZJTExXYMHR9SCm1VRTmAFXHlAzi6VB6tSBTisepRjJTd&#13;&#10;mmpT1001euwDegkx0un9fMl3Jb9SINMXpSIkZjpOvaWyYlmf81rttqI9ogiDlpc2xD90YYV2VHRJ&#13;&#10;dS+SYD9R/5HKaok+epVW0tvKK6UlFA2kZl2/UvM0iABFC5kTw2JT/H9p5efTAZnuO95w5oSlJ3pK&#13;&#10;KPRxSGzvnSMDPbIm+zSG2BJ87w54iWI4YBY9KbT5S3LYVLw9L97ClJicDyWdNvXHpi62Vy+8gDE9&#13;&#10;gLcsbzputMuqRStOjzFRLYJeIRTkPubKZZfOBjLYuK+gSAnVui3sMkOwN8hOgl6//7HOKihXQWaK&#13;&#10;0sYspPpt0gWbaVDmaiFu3iYu6FLRu7QQrXYe/0ZO07VVNeOvqmetWfaz78/lHYodNBxF2WWQ8/T9&#13;&#10;Hhf6y++2+wUAAP//AwBQSwMEFAAGAAgAAAAhAObdrQbjAAAAEAEAAA8AAABkcnMvZG93bnJldi54&#13;&#10;bWxMj01Lw0AQhu+C/2EZwYvYXWvSljSbIoqHCAq24nma3SbR7GzIbtP47x3xoJdhPt953nwzuU6M&#13;&#10;dgitJw03MwXCUuVNS7WGt93j9QpEiEgGO09Ww5cNsCnOz3LMjD/Rqx23sRYsQiFDDU2MfSZlqBrr&#13;&#10;MMx8b4lnBz84jFwOtTQDnljcdXKu1EI6bIk/NNjb+8ZWn9uj0/BRvpd1erVsDy9J+oS7MX2msdT6&#13;&#10;8mJ6WHO4W4OIdop/F/DjgfmhYLC9P5IJotNwqxLmj5ws5+yMN347ew3JYqVAFrn8b6T4BgAA//8D&#13;&#10;AFBLAQItABQABgAIAAAAIQC2gziS/gAAAOEBAAATAAAAAAAAAAAAAAAAAAAAAABbQ29udGVudF9U&#13;&#10;eXBlc10ueG1sUEsBAi0AFAAGAAgAAAAhADj9If/WAAAAlAEAAAsAAAAAAAAAAAAAAAAALwEAAF9y&#13;&#10;ZWxzLy5yZWxzUEsBAi0AFAAGAAgAAAAhAPYHbDm2AQAAtgMAAA4AAAAAAAAAAAAAAAAALgIAAGRy&#13;&#10;cy9lMm9Eb2MueG1sUEsBAi0AFAAGAAgAAAAhAObdrQbjAAAAEAEAAA8AAAAAAAAAAAAAAAAAEAQA&#13;&#10;AGRycy9kb3ducmV2LnhtbFBLBQYAAAAABAAEAPMAAAAgBQAAAAA=&#13;&#10;" strokecolor="black [3200]" strokeweight="1.5pt">
                <v:stroke joinstyle="miter"/>
              </v:line>
            </w:pict>
          </mc:Fallback>
        </mc:AlternateContent>
      </w:r>
      <w:r>
        <w:rPr>
          <w:rFonts w:ascii="Arial" w:hAnsi="Arial" w:cs="Arial"/>
          <w:b/>
          <w:bCs/>
          <w:i/>
          <w:iCs/>
          <w:noProof/>
          <w:sz w:val="28"/>
          <w:szCs w:val="28"/>
        </w:rPr>
        <mc:AlternateContent>
          <mc:Choice Requires="wps">
            <w:drawing>
              <wp:anchor distT="0" distB="0" distL="114300" distR="114300" simplePos="0" relativeHeight="251667456" behindDoc="0" locked="0" layoutInCell="1" allowOverlap="1" wp14:anchorId="5A174E1A" wp14:editId="3B1EC398">
                <wp:simplePos x="0" y="0"/>
                <wp:positionH relativeFrom="column">
                  <wp:posOffset>5905500</wp:posOffset>
                </wp:positionH>
                <wp:positionV relativeFrom="paragraph">
                  <wp:posOffset>899160</wp:posOffset>
                </wp:positionV>
                <wp:extent cx="0" cy="609600"/>
                <wp:effectExtent l="12700" t="0" r="12700" b="12700"/>
                <wp:wrapNone/>
                <wp:docPr id="8" name="Straight Connector 8"/>
                <wp:cNvGraphicFramePr/>
                <a:graphic xmlns:a="http://schemas.openxmlformats.org/drawingml/2006/main">
                  <a:graphicData uri="http://schemas.microsoft.com/office/word/2010/wordprocessingShape">
                    <wps:wsp>
                      <wps:cNvCnPr/>
                      <wps:spPr>
                        <a:xfrm>
                          <a:off x="0" y="0"/>
                          <a:ext cx="0" cy="609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7768E51" id="Straight Connector 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65pt,70.8pt" to="465pt,11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3QHtgEAALYDAAAOAAAAZHJzL2Uyb0RvYy54bWysU8GO0zAQvSPxD5bvNGmRqiVquoeu4IKg&#13;&#10;YuEDvM64sbA91tg07d8zdtssArQHxMXx2O/NzHuebO5P3okjULIYerlctFJA0DjYcOjlt6/v39xJ&#13;&#10;kbIKg3IYoJdnSPJ++/rVZoodrHBENwAJThJSN8VejjnHrmmSHsGrtMAIgS8NkleZQzo0A6mJs3vX&#13;&#10;rNp23UxIQyTUkBKfPlwu5bbmNwZ0/mxMgixcL7m3XFeq61NZm+1GdQdScbT62ob6hy68soGLzqke&#13;&#10;VFbiB9k/UnmrCROavNDoGzTGaqgaWM2y/U3N46giVC1sToqzTen/pdWfjnsSduglP1RQnp/oMZOy&#13;&#10;hzGLHYbABiKJu+LTFFPH8F3Y0zVKcU9F9MmQL1+WI07V2/PsLZyy0JdDzafr9t26rbY3z7xIKX8A&#13;&#10;9KJseulsKKpVp44fU+ZaDL1BOCh9XCrXXT47KGAXvoBhJVzrbWXXGYKdI3FU/PrD92VRwbkqslCM&#13;&#10;dW4mtS+TrthCgzpXM3H1MnFG14oY8kz0NiD9jZxPt1bNBX9TfdFaZD/hcK7vUO3g4ajKroNcpu/X&#13;&#10;uNKff7ftTwAAAP//AwBQSwMEFAAGAAgAAAAhADv4KtflAAAAEAEAAA8AAABkcnMvZG93bnJldi54&#13;&#10;bWxMj09PwzAMxe9IfIfISFwQS/enHXRNJwTiUCSQ2KadvSZrC41TNVlXvj1GHOBiyX728/tl69G2&#13;&#10;YjC9bxwpmE4iEIZKpxuqFOy2z7d3IHxA0tg6Mgq+jId1fnmRYardmd7NsAmVYBPyKSqoQ+hSKX1Z&#13;&#10;G4t+4jpDrB1dbzFw21dS93hmc9vKWRQl0mJD/KHGzjzWpvzcnKyCj2JfVPHNsjm+LeIX3A7xKw2F&#13;&#10;UtdX49OKy8MKRDBj+LuAHwbODzkHO7gTaS9aBffziIECC4tpAoI3ficHBbP5MgGZZ/I/SP4NAAD/&#13;&#10;/wMAUEsBAi0AFAAGAAgAAAAhALaDOJL+AAAA4QEAABMAAAAAAAAAAAAAAAAAAAAAAFtDb250ZW50&#13;&#10;X1R5cGVzXS54bWxQSwECLQAUAAYACAAAACEAOP0h/9YAAACUAQAACwAAAAAAAAAAAAAAAAAvAQAA&#13;&#10;X3JlbHMvLnJlbHNQSwECLQAUAAYACAAAACEA/q90B7YBAAC2AwAADgAAAAAAAAAAAAAAAAAuAgAA&#13;&#10;ZHJzL2Uyb0RvYy54bWxQSwECLQAUAAYACAAAACEAO/gq1+UAAAAQAQAADwAAAAAAAAAAAAAAAAAQ&#13;&#10;BAAAZHJzL2Rvd25yZXYueG1sUEsFBgAAAAAEAAQA8wAAACIFAAAAAA==&#13;&#10;" strokecolor="black [3200]" strokeweight="1.5pt">
                <v:stroke joinstyle="miter"/>
              </v:line>
            </w:pict>
          </mc:Fallback>
        </mc:AlternateContent>
      </w:r>
      <w:r>
        <w:rPr>
          <w:rFonts w:ascii="Arial" w:hAnsi="Arial" w:cs="Arial"/>
          <w:b/>
          <w:bCs/>
          <w:i/>
          <w:iCs/>
          <w:noProof/>
          <w:sz w:val="28"/>
          <w:szCs w:val="28"/>
        </w:rPr>
        <mc:AlternateContent>
          <mc:Choice Requires="wps">
            <w:drawing>
              <wp:anchor distT="0" distB="0" distL="114300" distR="114300" simplePos="0" relativeHeight="251661312" behindDoc="0" locked="0" layoutInCell="1" allowOverlap="1" wp14:anchorId="7E04AA13" wp14:editId="1B8B43D2">
                <wp:simplePos x="0" y="0"/>
                <wp:positionH relativeFrom="column">
                  <wp:posOffset>1767840</wp:posOffset>
                </wp:positionH>
                <wp:positionV relativeFrom="paragraph">
                  <wp:posOffset>889000</wp:posOffset>
                </wp:positionV>
                <wp:extent cx="0" cy="609600"/>
                <wp:effectExtent l="12700" t="0" r="12700" b="12700"/>
                <wp:wrapNone/>
                <wp:docPr id="5" name="Straight Connector 5"/>
                <wp:cNvGraphicFramePr/>
                <a:graphic xmlns:a="http://schemas.openxmlformats.org/drawingml/2006/main">
                  <a:graphicData uri="http://schemas.microsoft.com/office/word/2010/wordprocessingShape">
                    <wps:wsp>
                      <wps:cNvCnPr/>
                      <wps:spPr>
                        <a:xfrm>
                          <a:off x="0" y="0"/>
                          <a:ext cx="0" cy="609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0C20DB6"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39.2pt,70pt" to="139.2pt,1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pC+twEAALYDAAAOAAAAZHJzL2Uyb0RvYy54bWysU8Fu2zAMvQ/oPwi6N3YyNNiMOD2kWC/D&#13;&#10;FqzrB6iyFAuVRIHSYufvR8mJW2xDD0Mvsii9R/I90Zvb0Vl2VBgN+JYvFzVnykvojD+0/PHnl+tP&#13;&#10;nMUkfCcseNXyk4r8dnv1YTOERq2gB9spZJTEx2YILe9TCk1VRdkrJ+ICgvJ0qQGdSBTioepQDJTd&#13;&#10;2WpV1+tqAOwCglQx0unddMm3Jb/WSqbvWkeVmG059ZbKimV9ymu13YjmgCL0Rp7bEP/RhRPGU9E5&#13;&#10;1Z1Igv1C81cqZyRCBJ0WElwFWhupigZSs6z/UPPQi6CKFjInhtmm+H5p5bfjHpnpWn7DmReOnugh&#13;&#10;oTCHPrEdeE8GArKb7NMQYkPwnd/jOYphj1n0qNHlL8lhY/H2NHurxsTkdCjpdF1/XtfF9uqFFzCm&#13;&#10;ewWO5U3LrfFZtWjE8WtMVIugFwgFuY+pctmlk1UZbP0PpUkJ1fpY2GWG1M4iOwp6/e55mVVQroLM&#13;&#10;FG2snUn126QzNtNUmauZuHqbOKNLRfBpJjrjAf9FTuOlVT3hL6onrVn2E3Sn8g7FDhqOouw8yHn6&#13;&#10;XseF/vK7bX8DAAD//wMAUEsDBBQABgAIAAAAIQD8H4Dv4wAAABABAAAPAAAAZHJzL2Rvd25yZXYu&#13;&#10;eG1sTE/BTsMwDL0j8Q+RkbggljDabeqaTgjEoUggsSHOWeO1hcapmqwrf48RB7hYtt/z83v5ZnKd&#13;&#10;GHEIrScNNzMFAqnytqVaw9vu8XoFIkRD1nSeUMMXBtgU52e5yaw/0SuO21gLFqGQGQ1NjH0mZaga&#13;&#10;dCbMfI/E2MEPzkQeh1rawZxY3HVyrtRCOtMSf2hMj/cNVp/bo9PwUb6XdXq1bA8vSfpkdmP6TGOp&#13;&#10;9eXF9LDmcrcGEXGKfxfwk4H9Q8HG9v5INohOw3y5SpjKQKI4GTN+N3tubhcKZJHL/0GKbwAAAP//&#13;&#10;AwBQSwECLQAUAAYACAAAACEAtoM4kv4AAADhAQAAEwAAAAAAAAAAAAAAAAAAAAAAW0NvbnRlbnRf&#13;&#10;VHlwZXNdLnhtbFBLAQItABQABgAIAAAAIQA4/SH/1gAAAJQBAAALAAAAAAAAAAAAAAAAAC8BAABf&#13;&#10;cmVscy8ucmVsc1BLAQItABQABgAIAAAAIQB0+pC+twEAALYDAAAOAAAAAAAAAAAAAAAAAC4CAABk&#13;&#10;cnMvZTJvRG9jLnhtbFBLAQItABQABgAIAAAAIQD8H4Dv4wAAABABAAAPAAAAAAAAAAAAAAAAABEE&#13;&#10;AABkcnMvZG93bnJldi54bWxQSwUGAAAAAAQABADzAAAAIQUAAAAA&#13;&#10;" strokecolor="black [3200]" strokeweight="1.5pt">
                <v:stroke joinstyle="miter"/>
              </v:line>
            </w:pict>
          </mc:Fallback>
        </mc:AlternateContent>
      </w:r>
      <w:r w:rsidRPr="003C3547">
        <w:rPr>
          <w:rFonts w:ascii="Arial" w:hAnsi="Arial" w:cs="Arial"/>
          <w:b/>
          <w:bCs/>
          <w:i/>
          <w:iCs/>
          <w:noProof/>
          <w:sz w:val="28"/>
          <w:szCs w:val="28"/>
        </w:rPr>
        <w:drawing>
          <wp:anchor distT="0" distB="0" distL="114300" distR="114300" simplePos="0" relativeHeight="251660288" behindDoc="0" locked="0" layoutInCell="1" allowOverlap="1" wp14:anchorId="2C06EF54" wp14:editId="1191BA7C">
            <wp:simplePos x="0" y="0"/>
            <wp:positionH relativeFrom="column">
              <wp:posOffset>-199390</wp:posOffset>
            </wp:positionH>
            <wp:positionV relativeFrom="paragraph">
              <wp:posOffset>208280</wp:posOffset>
            </wp:positionV>
            <wp:extent cx="7353300" cy="3342640"/>
            <wp:effectExtent l="0" t="0" r="0" b="0"/>
            <wp:wrapTopAndBottom/>
            <wp:docPr id="4" name="Picture 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7353300" cy="3342640"/>
                    </a:xfrm>
                    <a:prstGeom prst="rect">
                      <a:avLst/>
                    </a:prstGeom>
                  </pic:spPr>
                </pic:pic>
              </a:graphicData>
            </a:graphic>
            <wp14:sizeRelH relativeFrom="page">
              <wp14:pctWidth>0</wp14:pctWidth>
            </wp14:sizeRelH>
            <wp14:sizeRelV relativeFrom="page">
              <wp14:pctHeight>0</wp14:pctHeight>
            </wp14:sizeRelV>
          </wp:anchor>
        </w:drawing>
      </w:r>
    </w:p>
    <w:p w14:paraId="16C74347" w14:textId="31D37DAF" w:rsidR="00D17C78" w:rsidRPr="003C3547" w:rsidRDefault="003C3547" w:rsidP="00D17C78">
      <w:pPr>
        <w:ind w:firstLine="720"/>
        <w:rPr>
          <w:rFonts w:ascii="Arial" w:hAnsi="Arial" w:cs="Arial"/>
        </w:rPr>
      </w:pPr>
      <w:r w:rsidRPr="003C3547">
        <w:rPr>
          <w:rFonts w:ascii="Arial" w:hAnsi="Arial" w:cs="Arial"/>
          <w:b/>
          <w:bCs/>
          <w:sz w:val="28"/>
          <w:szCs w:val="28"/>
        </w:rPr>
        <w:t>Figure 2</w:t>
      </w:r>
      <w:r>
        <w:rPr>
          <w:rFonts w:ascii="Arial" w:hAnsi="Arial" w:cs="Arial"/>
          <w:sz w:val="28"/>
          <w:szCs w:val="28"/>
        </w:rPr>
        <w:t xml:space="preserve">. </w:t>
      </w:r>
      <w:r w:rsidRPr="003C3547">
        <w:rPr>
          <w:rFonts w:ascii="Arial" w:hAnsi="Arial" w:cs="Arial"/>
        </w:rPr>
        <w:t xml:space="preserve">The empirical cumulative distribution of predicted probabilities for each of the six ensembles, for each of the groups. Each column corresponds to a preprocessing pipeline, in which the first two rows correspond to the GBM using that pipeline, and the second two the GLM. Each dot represents a subject, and their position along the x-axis is the predicted probability (of belonging to the early-adversity group) assigned by each ensemble. The length of the bar subsuming their point is the 95% CI interval based on the variability in their predicted probabilities generated by the 100 models in each ensemble. Bars are colored based on the predicted probability of the ensemble and correspond to the x-axis of each plot, where red indicates lower probability, blue is higher, and green is the midpoint. The y-axis is the cumulative density for the distribution of probabilities assigned by each model to each group. As such, the y-axis (also) ranges from 0 to 1, and reflects the quantiles associated with each predicted probability plotted on the x-axis, for each group. </w:t>
      </w:r>
    </w:p>
    <w:p w14:paraId="1513CCCB" w14:textId="3FC27F20" w:rsidR="00F24401" w:rsidRDefault="00F24401" w:rsidP="00DF4329">
      <w:pPr>
        <w:jc w:val="center"/>
        <w:rPr>
          <w:rFonts w:ascii="Arial" w:hAnsi="Arial" w:cs="Arial"/>
          <w:i/>
          <w:iCs/>
          <w:sz w:val="28"/>
          <w:szCs w:val="28"/>
        </w:rPr>
      </w:pPr>
    </w:p>
    <w:p w14:paraId="4942AF8E" w14:textId="38D782DC" w:rsidR="00D9778A" w:rsidRDefault="00D9778A" w:rsidP="00DF4329">
      <w:pPr>
        <w:jc w:val="center"/>
        <w:rPr>
          <w:rFonts w:ascii="Arial" w:hAnsi="Arial" w:cs="Arial"/>
          <w:i/>
          <w:iCs/>
          <w:sz w:val="28"/>
          <w:szCs w:val="28"/>
        </w:rPr>
      </w:pPr>
    </w:p>
    <w:p w14:paraId="63728479" w14:textId="0AE11681" w:rsidR="00D9778A" w:rsidRDefault="003C3547" w:rsidP="00F7743A">
      <w:pPr>
        <w:jc w:val="center"/>
        <w:rPr>
          <w:rFonts w:ascii="Arial" w:hAnsi="Arial" w:cs="Arial"/>
          <w:i/>
          <w:iCs/>
          <w:sz w:val="28"/>
          <w:szCs w:val="28"/>
        </w:rPr>
      </w:pPr>
      <w:r>
        <w:rPr>
          <w:rFonts w:ascii="Arial" w:hAnsi="Arial" w:cs="Arial"/>
          <w:noProof/>
          <w:sz w:val="28"/>
          <w:szCs w:val="28"/>
        </w:rPr>
        <w:lastRenderedPageBreak/>
        <w:drawing>
          <wp:inline distT="0" distB="0" distL="0" distR="0" wp14:anchorId="05FB2A30" wp14:editId="50013CD7">
            <wp:extent cx="6733151" cy="4897120"/>
            <wp:effectExtent l="0" t="0" r="0" b="508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53857" cy="4912180"/>
                    </a:xfrm>
                    <a:prstGeom prst="rect">
                      <a:avLst/>
                    </a:prstGeom>
                  </pic:spPr>
                </pic:pic>
              </a:graphicData>
            </a:graphic>
          </wp:inline>
        </w:drawing>
      </w:r>
    </w:p>
    <w:p w14:paraId="13C91F46" w14:textId="5599B638" w:rsidR="005970AD" w:rsidRDefault="00F7743A" w:rsidP="005970AD">
      <w:pPr>
        <w:ind w:firstLine="720"/>
        <w:rPr>
          <w:rFonts w:ascii="Arial" w:hAnsi="Arial" w:cs="Arial"/>
          <w:sz w:val="28"/>
          <w:szCs w:val="28"/>
        </w:rPr>
      </w:pPr>
      <w:r>
        <w:rPr>
          <w:rFonts w:ascii="Arial" w:hAnsi="Arial" w:cs="Arial"/>
          <w:b/>
          <w:bCs/>
          <w:sz w:val="28"/>
          <w:szCs w:val="28"/>
        </w:rPr>
        <w:t>Figure 3</w:t>
      </w:r>
      <w:r>
        <w:rPr>
          <w:rFonts w:ascii="Arial" w:hAnsi="Arial" w:cs="Arial"/>
          <w:sz w:val="28"/>
          <w:szCs w:val="28"/>
        </w:rPr>
        <w:t xml:space="preserve">. </w:t>
      </w:r>
      <w:r w:rsidRPr="00DE4589">
        <w:rPr>
          <w:rFonts w:ascii="Arial" w:hAnsi="Arial" w:cs="Arial"/>
        </w:rPr>
        <w:t xml:space="preserve">The plot contains </w:t>
      </w:r>
      <w:proofErr w:type="gramStart"/>
      <w:r w:rsidRPr="00DE4589">
        <w:rPr>
          <w:rFonts w:ascii="Arial" w:hAnsi="Arial" w:cs="Arial"/>
        </w:rPr>
        <w:t>12 point</w:t>
      </w:r>
      <w:proofErr w:type="gramEnd"/>
      <w:r w:rsidRPr="00DE4589">
        <w:rPr>
          <w:rFonts w:ascii="Arial" w:hAnsi="Arial" w:cs="Arial"/>
        </w:rPr>
        <w:t xml:space="preserve"> clouds/boxplots (positioned in 6 cells), in which points are </w:t>
      </w:r>
      <w:r>
        <w:rPr>
          <w:rFonts w:ascii="Arial" w:hAnsi="Arial" w:cs="Arial"/>
        </w:rPr>
        <w:t>Kolmogorov-Smirnov test statistics. V</w:t>
      </w:r>
      <w:r w:rsidRPr="00DE4589">
        <w:rPr>
          <w:rFonts w:ascii="Arial" w:hAnsi="Arial" w:cs="Arial"/>
        </w:rPr>
        <w:t>alues plotted on a y-axis ranging from around .</w:t>
      </w:r>
      <w:r>
        <w:rPr>
          <w:rFonts w:ascii="Arial" w:hAnsi="Arial" w:cs="Arial"/>
        </w:rPr>
        <w:t>2</w:t>
      </w:r>
      <w:r w:rsidRPr="00DE4589">
        <w:rPr>
          <w:rFonts w:ascii="Arial" w:hAnsi="Arial" w:cs="Arial"/>
        </w:rPr>
        <w:t xml:space="preserve"> to .</w:t>
      </w:r>
      <w:r>
        <w:rPr>
          <w:rFonts w:ascii="Arial" w:hAnsi="Arial" w:cs="Arial"/>
        </w:rPr>
        <w:t>65</w:t>
      </w:r>
      <w:r w:rsidRPr="00DE4589">
        <w:rPr>
          <w:rFonts w:ascii="Arial" w:hAnsi="Arial" w:cs="Arial"/>
        </w:rPr>
        <w:t xml:space="preserve">. The </w:t>
      </w:r>
      <w:proofErr w:type="gramStart"/>
      <w:r w:rsidRPr="00DE4589">
        <w:rPr>
          <w:rFonts w:ascii="Arial" w:hAnsi="Arial" w:cs="Arial"/>
        </w:rPr>
        <w:t>6 point</w:t>
      </w:r>
      <w:proofErr w:type="gramEnd"/>
      <w:r w:rsidRPr="00DE4589">
        <w:rPr>
          <w:rFonts w:ascii="Arial" w:hAnsi="Arial" w:cs="Arial"/>
        </w:rPr>
        <w:t xml:space="preserve"> clouds on the top row (in the top 3 cells) correspond to the 6 final </w:t>
      </w:r>
      <w:r w:rsidR="005970AD">
        <w:rPr>
          <w:rFonts w:ascii="Arial" w:hAnsi="Arial" w:cs="Arial"/>
        </w:rPr>
        <w:t>KS statistics</w:t>
      </w:r>
      <w:r w:rsidRPr="00DE4589">
        <w:rPr>
          <w:rFonts w:ascii="Arial" w:hAnsi="Arial" w:cs="Arial"/>
        </w:rPr>
        <w:t xml:space="preserve"> derived from averaging the predicted probabilities for each subject</w:t>
      </w:r>
      <w:r w:rsidR="005970AD">
        <w:rPr>
          <w:rFonts w:ascii="Arial" w:hAnsi="Arial" w:cs="Arial"/>
        </w:rPr>
        <w:t xml:space="preserve"> from the 100 models in each ensemble</w:t>
      </w:r>
      <w:r w:rsidRPr="00DE4589">
        <w:rPr>
          <w:rFonts w:ascii="Arial" w:hAnsi="Arial" w:cs="Arial"/>
        </w:rPr>
        <w:t xml:space="preserve">, and then calculating </w:t>
      </w:r>
      <w:r w:rsidR="005970AD">
        <w:rPr>
          <w:rFonts w:ascii="Arial" w:hAnsi="Arial" w:cs="Arial"/>
        </w:rPr>
        <w:t>the KS statistic</w:t>
      </w:r>
      <w:r w:rsidRPr="00DE4589">
        <w:rPr>
          <w:rFonts w:ascii="Arial" w:hAnsi="Arial" w:cs="Arial"/>
        </w:rPr>
        <w:t xml:space="preserve"> one time</w:t>
      </w:r>
      <w:r w:rsidR="005970AD">
        <w:rPr>
          <w:rFonts w:ascii="Arial" w:hAnsi="Arial" w:cs="Arial"/>
        </w:rPr>
        <w:t xml:space="preserve"> for each</w:t>
      </w:r>
      <w:r w:rsidRPr="00DE4589">
        <w:rPr>
          <w:rFonts w:ascii="Arial" w:hAnsi="Arial" w:cs="Arial"/>
        </w:rPr>
        <w:t xml:space="preserve">. </w:t>
      </w:r>
      <w:r w:rsidR="005970AD" w:rsidRPr="00DE4589">
        <w:rPr>
          <w:rFonts w:ascii="Arial" w:hAnsi="Arial" w:cs="Arial"/>
        </w:rPr>
        <w:t>The</w:t>
      </w:r>
      <w:r w:rsidR="005970AD">
        <w:rPr>
          <w:rFonts w:ascii="Arial" w:hAnsi="Arial" w:cs="Arial"/>
        </w:rPr>
        <w:t xml:space="preserve"> encoloured</w:t>
      </w:r>
      <w:r w:rsidR="005970AD" w:rsidRPr="00DE4589">
        <w:rPr>
          <w:rFonts w:ascii="Arial" w:hAnsi="Arial" w:cs="Arial"/>
        </w:rPr>
        <w:t xml:space="preserve"> point clouds are derived from bootstrap</w:t>
      </w:r>
      <w:r w:rsidR="005970AD">
        <w:rPr>
          <w:rFonts w:ascii="Arial" w:hAnsi="Arial" w:cs="Arial"/>
        </w:rPr>
        <w:t xml:space="preserve"> resampling the 100 models of each ensemble, recomputing the averaged</w:t>
      </w:r>
      <w:r w:rsidR="005970AD" w:rsidRPr="00DE4589">
        <w:rPr>
          <w:rFonts w:ascii="Arial" w:hAnsi="Arial" w:cs="Arial"/>
        </w:rPr>
        <w:t xml:space="preserve"> </w:t>
      </w:r>
      <w:r w:rsidR="005970AD">
        <w:rPr>
          <w:rFonts w:ascii="Arial" w:hAnsi="Arial" w:cs="Arial"/>
        </w:rPr>
        <w:t>predicted probabilities and corresponding KS statistic, 1000 times. T</w:t>
      </w:r>
      <w:r w:rsidR="005970AD" w:rsidRPr="00DE4589">
        <w:rPr>
          <w:rFonts w:ascii="Arial" w:hAnsi="Arial" w:cs="Arial"/>
        </w:rPr>
        <w:t>he grey point cloud is the permuted null distribution used to compute the p-value for the 6</w:t>
      </w:r>
      <w:r w:rsidR="005970AD">
        <w:rPr>
          <w:rFonts w:ascii="Arial" w:hAnsi="Arial" w:cs="Arial"/>
        </w:rPr>
        <w:t xml:space="preserve"> observed</w:t>
      </w:r>
      <w:r w:rsidR="005970AD" w:rsidRPr="00DE4589">
        <w:rPr>
          <w:rFonts w:ascii="Arial" w:hAnsi="Arial" w:cs="Arial"/>
        </w:rPr>
        <w:t xml:space="preserve"> values. For a deeper </w:t>
      </w:r>
      <w:r w:rsidR="005970AD">
        <w:rPr>
          <w:rFonts w:ascii="Arial" w:hAnsi="Arial" w:cs="Arial"/>
        </w:rPr>
        <w:t>a</w:t>
      </w:r>
      <w:r w:rsidR="005970AD" w:rsidRPr="00DE4589">
        <w:rPr>
          <w:rFonts w:ascii="Arial" w:hAnsi="Arial" w:cs="Arial"/>
        </w:rPr>
        <w:t xml:space="preserve">nalysis of the certainty </w:t>
      </w:r>
      <w:r w:rsidR="005970AD">
        <w:rPr>
          <w:rFonts w:ascii="Arial" w:hAnsi="Arial" w:cs="Arial"/>
        </w:rPr>
        <w:t>and invariance</w:t>
      </w:r>
      <w:r w:rsidR="005970AD" w:rsidRPr="00DE4589">
        <w:rPr>
          <w:rFonts w:ascii="Arial" w:hAnsi="Arial" w:cs="Arial"/>
        </w:rPr>
        <w:t xml:space="preserve"> across the 100 iterations of cross-validation separately, we calculate </w:t>
      </w:r>
      <w:r w:rsidR="005970AD">
        <w:rPr>
          <w:rFonts w:ascii="Arial" w:hAnsi="Arial" w:cs="Arial"/>
        </w:rPr>
        <w:t>the KS statistic</w:t>
      </w:r>
      <w:r w:rsidR="005970AD" w:rsidRPr="00DE4589">
        <w:rPr>
          <w:rFonts w:ascii="Arial" w:hAnsi="Arial" w:cs="Arial"/>
        </w:rPr>
        <w:t xml:space="preserve"> </w:t>
      </w:r>
      <w:r w:rsidR="005970AD" w:rsidRPr="00DE4589">
        <w:rPr>
          <w:rFonts w:ascii="Arial" w:hAnsi="Arial" w:cs="Arial"/>
          <w:i/>
          <w:iCs/>
        </w:rPr>
        <w:t>before</w:t>
      </w:r>
      <w:r w:rsidR="005970AD" w:rsidRPr="00DE4589">
        <w:rPr>
          <w:rFonts w:ascii="Arial" w:hAnsi="Arial" w:cs="Arial"/>
        </w:rPr>
        <w:t xml:space="preserve"> averaging predictions (100 distinct times) for each of the 6 </w:t>
      </w:r>
      <w:proofErr w:type="gramStart"/>
      <w:r w:rsidR="005970AD">
        <w:rPr>
          <w:rFonts w:ascii="Arial" w:hAnsi="Arial" w:cs="Arial"/>
        </w:rPr>
        <w:t>ensembles</w:t>
      </w:r>
      <w:r w:rsidR="005970AD" w:rsidRPr="00DE4589">
        <w:rPr>
          <w:rFonts w:ascii="Arial" w:hAnsi="Arial" w:cs="Arial"/>
        </w:rPr>
        <w:t>, and</w:t>
      </w:r>
      <w:proofErr w:type="gramEnd"/>
      <w:r w:rsidR="005970AD" w:rsidRPr="00DE4589">
        <w:rPr>
          <w:rFonts w:ascii="Arial" w:hAnsi="Arial" w:cs="Arial"/>
        </w:rPr>
        <w:t xml:space="preserve"> plot the resulting 100-point cloud and boxplot in the bottom row (bottom 3 cells) for each of the 6 model-type by preprocessing-type combinations. Each column (and color) pertains to a different preprocessing pipeline, while within each cell, the cloud/boxplot on the left correspond</w:t>
      </w:r>
      <w:r w:rsidR="005970AD">
        <w:rPr>
          <w:rFonts w:ascii="Arial" w:hAnsi="Arial" w:cs="Arial"/>
        </w:rPr>
        <w:t>s</w:t>
      </w:r>
      <w:r w:rsidR="005970AD" w:rsidRPr="00DE4589">
        <w:rPr>
          <w:rFonts w:ascii="Arial" w:hAnsi="Arial" w:cs="Arial"/>
        </w:rPr>
        <w:t xml:space="preserve"> to </w:t>
      </w:r>
      <w:r w:rsidR="005970AD">
        <w:rPr>
          <w:rFonts w:ascii="Arial" w:hAnsi="Arial" w:cs="Arial"/>
        </w:rPr>
        <w:t>the GBM models and ensemble and those on the right pertain to the GLM models and ensemble</w:t>
      </w:r>
      <w:r w:rsidR="005970AD" w:rsidRPr="00DE4589">
        <w:rPr>
          <w:rFonts w:ascii="Arial" w:hAnsi="Arial" w:cs="Arial"/>
        </w:rPr>
        <w:t>. Red lines reflect 95% confidence intervals</w:t>
      </w:r>
      <w:r w:rsidR="005970AD">
        <w:rPr>
          <w:rFonts w:ascii="Arial" w:hAnsi="Arial" w:cs="Arial"/>
        </w:rPr>
        <w:t>, based either on bootstrap standard error (top row, encoloured point clouds), or span the empirical 5</w:t>
      </w:r>
      <w:r w:rsidR="005970AD" w:rsidRPr="005970AD">
        <w:rPr>
          <w:rFonts w:ascii="Arial" w:hAnsi="Arial" w:cs="Arial"/>
          <w:vertAlign w:val="superscript"/>
        </w:rPr>
        <w:t>th</w:t>
      </w:r>
      <w:r w:rsidR="005970AD">
        <w:rPr>
          <w:rFonts w:ascii="Arial" w:hAnsi="Arial" w:cs="Arial"/>
        </w:rPr>
        <w:t xml:space="preserve"> to 95</w:t>
      </w:r>
      <w:r w:rsidR="005970AD" w:rsidRPr="005970AD">
        <w:rPr>
          <w:rFonts w:ascii="Arial" w:hAnsi="Arial" w:cs="Arial"/>
          <w:vertAlign w:val="superscript"/>
        </w:rPr>
        <w:t>th</w:t>
      </w:r>
      <w:r w:rsidR="005970AD">
        <w:rPr>
          <w:rFonts w:ascii="Arial" w:hAnsi="Arial" w:cs="Arial"/>
        </w:rPr>
        <w:t xml:space="preserve"> quantiles (for the null and individual-fold distributions).</w:t>
      </w:r>
    </w:p>
    <w:p w14:paraId="3433D548" w14:textId="25C17EFF" w:rsidR="00D9778A" w:rsidRDefault="00D9778A" w:rsidP="005970AD">
      <w:pPr>
        <w:ind w:firstLine="720"/>
        <w:rPr>
          <w:rFonts w:ascii="Arial" w:hAnsi="Arial" w:cs="Arial"/>
          <w:i/>
          <w:iCs/>
          <w:sz w:val="28"/>
          <w:szCs w:val="28"/>
        </w:rPr>
      </w:pPr>
    </w:p>
    <w:p w14:paraId="519F65A9" w14:textId="1C96B068" w:rsidR="00907245" w:rsidRDefault="00907245" w:rsidP="005970AD">
      <w:pPr>
        <w:jc w:val="center"/>
        <w:rPr>
          <w:rFonts w:ascii="Arial" w:hAnsi="Arial" w:cs="Arial"/>
          <w:i/>
          <w:iCs/>
          <w:sz w:val="28"/>
          <w:szCs w:val="28"/>
        </w:rPr>
      </w:pPr>
      <w:r>
        <w:rPr>
          <w:rFonts w:ascii="Arial" w:hAnsi="Arial" w:cs="Arial"/>
          <w:i/>
          <w:iCs/>
          <w:sz w:val="28"/>
          <w:szCs w:val="28"/>
        </w:rPr>
        <w:t xml:space="preserve">Discovery of </w:t>
      </w:r>
      <w:r w:rsidR="00DF4329">
        <w:rPr>
          <w:rFonts w:ascii="Arial" w:hAnsi="Arial" w:cs="Arial"/>
          <w:i/>
          <w:iCs/>
          <w:sz w:val="28"/>
          <w:szCs w:val="28"/>
        </w:rPr>
        <w:t>Meaningful Subcortical Predictors via Ensemble Importance</w:t>
      </w:r>
      <w:r w:rsidR="005970AD">
        <w:rPr>
          <w:rFonts w:ascii="Arial" w:hAnsi="Arial" w:cs="Arial"/>
          <w:i/>
          <w:iCs/>
          <w:sz w:val="28"/>
          <w:szCs w:val="28"/>
        </w:rPr>
        <w:br/>
      </w:r>
    </w:p>
    <w:p w14:paraId="2B2B36DD" w14:textId="15714B1D" w:rsidR="005970AD" w:rsidRDefault="005970AD" w:rsidP="005970AD">
      <w:pPr>
        <w:ind w:firstLine="720"/>
        <w:rPr>
          <w:rFonts w:ascii="Arial" w:hAnsi="Arial" w:cs="Arial"/>
          <w:sz w:val="28"/>
          <w:szCs w:val="28"/>
        </w:rPr>
      </w:pPr>
      <w:r>
        <w:rPr>
          <w:rFonts w:ascii="Arial" w:hAnsi="Arial" w:cs="Arial"/>
          <w:sz w:val="28"/>
          <w:szCs w:val="28"/>
        </w:rPr>
        <w:t>To evaluate which subcortical volumes were most important</w:t>
      </w:r>
      <w:r w:rsidR="00C93162">
        <w:rPr>
          <w:rFonts w:ascii="Arial" w:hAnsi="Arial" w:cs="Arial"/>
          <w:sz w:val="28"/>
          <w:szCs w:val="28"/>
        </w:rPr>
        <w:t xml:space="preserve"> and generalizable for decoding the impact of early-adversity on subcortical brain volume, we computed the quantified the contribution that each variable made to the performance of each </w:t>
      </w:r>
      <w:r w:rsidR="00C93162">
        <w:rPr>
          <w:rFonts w:ascii="Arial" w:hAnsi="Arial" w:cs="Arial"/>
          <w:sz w:val="28"/>
          <w:szCs w:val="28"/>
        </w:rPr>
        <w:lastRenderedPageBreak/>
        <w:t>ensemble (ensemble importance; EI).</w:t>
      </w:r>
      <w:r w:rsidR="00B37C46">
        <w:rPr>
          <w:rFonts w:ascii="Arial" w:hAnsi="Arial" w:cs="Arial"/>
          <w:sz w:val="28"/>
          <w:szCs w:val="28"/>
        </w:rPr>
        <w:t xml:space="preserve"> The EI of each variable is the percent by which the ensemble ROCAUC (computed with the test data) is affected by replacing a variable with noise. The variable is replaced with noise (in the test data) and the predictions of each model in the entire ensemble are recomputed, the averaged vector of predicted probabilities </w:t>
      </w:r>
      <w:proofErr w:type="gramStart"/>
      <w:r w:rsidR="00B37C46">
        <w:rPr>
          <w:rFonts w:ascii="Arial" w:hAnsi="Arial" w:cs="Arial"/>
          <w:sz w:val="28"/>
          <w:szCs w:val="28"/>
        </w:rPr>
        <w:t>are</w:t>
      </w:r>
      <w:proofErr w:type="gramEnd"/>
      <w:r w:rsidR="00B37C46">
        <w:rPr>
          <w:rFonts w:ascii="Arial" w:hAnsi="Arial" w:cs="Arial"/>
          <w:sz w:val="28"/>
          <w:szCs w:val="28"/>
        </w:rPr>
        <w:t xml:space="preserve"> recalculated, and the ensemble ROCAUC is again assessed. This is repeated for each variable, and for each ensemble. To assess the significance of such values, the process is repeated 1000 times for each variable in each ensemble after first also randomly permuting the group labels in the validation population.</w:t>
      </w:r>
    </w:p>
    <w:p w14:paraId="3C4EB559" w14:textId="7F163CB4" w:rsidR="00DE4589" w:rsidRPr="00DF4329" w:rsidRDefault="005F67D7" w:rsidP="005970AD">
      <w:pPr>
        <w:ind w:firstLine="720"/>
        <w:rPr>
          <w:rFonts w:ascii="Arial" w:hAnsi="Arial" w:cs="Arial"/>
          <w:sz w:val="28"/>
          <w:szCs w:val="28"/>
        </w:rPr>
      </w:pPr>
      <w:r>
        <w:rPr>
          <w:rFonts w:ascii="Arial" w:hAnsi="Arial" w:cs="Arial"/>
          <w:i/>
          <w:iCs/>
          <w:noProof/>
          <w:sz w:val="28"/>
          <w:szCs w:val="28"/>
        </w:rPr>
        <w:drawing>
          <wp:anchor distT="0" distB="0" distL="114300" distR="114300" simplePos="0" relativeHeight="251659264" behindDoc="0" locked="0" layoutInCell="1" allowOverlap="1" wp14:anchorId="28EBBD53" wp14:editId="5B974A09">
            <wp:simplePos x="0" y="0"/>
            <wp:positionH relativeFrom="column">
              <wp:posOffset>-398780</wp:posOffset>
            </wp:positionH>
            <wp:positionV relativeFrom="paragraph">
              <wp:posOffset>2000250</wp:posOffset>
            </wp:positionV>
            <wp:extent cx="7620000" cy="4155440"/>
            <wp:effectExtent l="0" t="0" r="0" b="0"/>
            <wp:wrapTopAndBottom/>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20000" cy="4155440"/>
                    </a:xfrm>
                    <a:prstGeom prst="rect">
                      <a:avLst/>
                    </a:prstGeom>
                  </pic:spPr>
                </pic:pic>
              </a:graphicData>
            </a:graphic>
            <wp14:sizeRelH relativeFrom="page">
              <wp14:pctWidth>0</wp14:pctWidth>
            </wp14:sizeRelH>
            <wp14:sizeRelV relativeFrom="page">
              <wp14:pctHeight>0</wp14:pctHeight>
            </wp14:sizeRelV>
          </wp:anchor>
        </w:drawing>
      </w:r>
      <w:r w:rsidR="00B37C46">
        <w:rPr>
          <w:rFonts w:ascii="Arial" w:hAnsi="Arial" w:cs="Arial"/>
          <w:sz w:val="28"/>
          <w:szCs w:val="28"/>
        </w:rPr>
        <w:t xml:space="preserve">As shown in Figure 4, </w:t>
      </w:r>
      <w:r w:rsidR="00DF4329">
        <w:rPr>
          <w:rFonts w:ascii="Arial" w:hAnsi="Arial" w:cs="Arial"/>
          <w:sz w:val="28"/>
          <w:szCs w:val="28"/>
        </w:rPr>
        <w:t xml:space="preserve">In all 5 of the 6 </w:t>
      </w:r>
      <w:r w:rsidR="00B37C46">
        <w:rPr>
          <w:rFonts w:ascii="Arial" w:hAnsi="Arial" w:cs="Arial"/>
          <w:sz w:val="28"/>
          <w:szCs w:val="28"/>
        </w:rPr>
        <w:t xml:space="preserve">ensembles that generated </w:t>
      </w:r>
      <w:r w:rsidR="00DF4329">
        <w:rPr>
          <w:rFonts w:ascii="Arial" w:hAnsi="Arial" w:cs="Arial"/>
          <w:sz w:val="28"/>
          <w:szCs w:val="28"/>
        </w:rPr>
        <w:t xml:space="preserve">statistically significant </w:t>
      </w:r>
      <w:r w:rsidR="00B37C46">
        <w:rPr>
          <w:rFonts w:ascii="Arial" w:hAnsi="Arial" w:cs="Arial"/>
          <w:sz w:val="28"/>
          <w:szCs w:val="28"/>
        </w:rPr>
        <w:t>ROCAUC</w:t>
      </w:r>
      <w:r w:rsidR="00DF4329">
        <w:rPr>
          <w:rFonts w:ascii="Arial" w:hAnsi="Arial" w:cs="Arial"/>
          <w:sz w:val="28"/>
          <w:szCs w:val="28"/>
        </w:rPr>
        <w:t xml:space="preserve">, the left hippocampus </w:t>
      </w:r>
      <w:r w:rsidR="00B37C46">
        <w:rPr>
          <w:rFonts w:ascii="Arial" w:hAnsi="Arial" w:cs="Arial"/>
          <w:sz w:val="28"/>
          <w:szCs w:val="28"/>
        </w:rPr>
        <w:t>emerged as</w:t>
      </w:r>
      <w:r w:rsidR="00DF4329">
        <w:rPr>
          <w:rFonts w:ascii="Arial" w:hAnsi="Arial" w:cs="Arial"/>
          <w:sz w:val="28"/>
          <w:szCs w:val="28"/>
        </w:rPr>
        <w:t xml:space="preserve"> the strongest predictor of group labels, and the left caudate the second-most predictive variable</w:t>
      </w:r>
      <w:r w:rsidR="00B37C46">
        <w:rPr>
          <w:rFonts w:ascii="Arial" w:hAnsi="Arial" w:cs="Arial"/>
          <w:sz w:val="28"/>
          <w:szCs w:val="28"/>
        </w:rPr>
        <w:t xml:space="preserve"> with the largest and </w:t>
      </w:r>
      <w:proofErr w:type="gramStart"/>
      <w:r w:rsidR="00B37C46">
        <w:rPr>
          <w:rFonts w:ascii="Arial" w:hAnsi="Arial" w:cs="Arial"/>
          <w:sz w:val="28"/>
          <w:szCs w:val="28"/>
        </w:rPr>
        <w:t>second-largest</w:t>
      </w:r>
      <w:proofErr w:type="gramEnd"/>
      <w:r w:rsidR="00B37C46">
        <w:rPr>
          <w:rFonts w:ascii="Arial" w:hAnsi="Arial" w:cs="Arial"/>
          <w:sz w:val="28"/>
          <w:szCs w:val="28"/>
        </w:rPr>
        <w:t xml:space="preserve"> EI, respectively</w:t>
      </w:r>
      <w:r w:rsidR="00DF4329">
        <w:rPr>
          <w:rFonts w:ascii="Arial" w:hAnsi="Arial" w:cs="Arial"/>
          <w:sz w:val="28"/>
          <w:szCs w:val="28"/>
        </w:rPr>
        <w:t>. In permutation tests, these two variables are significant at an alpha level of .05</w:t>
      </w:r>
      <w:r w:rsidR="00B37C46">
        <w:rPr>
          <w:rFonts w:ascii="Arial" w:hAnsi="Arial" w:cs="Arial"/>
          <w:sz w:val="28"/>
          <w:szCs w:val="28"/>
        </w:rPr>
        <w:t xml:space="preserve"> in all such models</w:t>
      </w:r>
      <w:r w:rsidR="00630EE8">
        <w:rPr>
          <w:rFonts w:ascii="Arial" w:hAnsi="Arial" w:cs="Arial"/>
          <w:sz w:val="28"/>
          <w:szCs w:val="28"/>
        </w:rPr>
        <w:t>. Together this demonstrates the robustness of these predictors in hypothesis- and data-driven contexts</w:t>
      </w:r>
      <w:r w:rsidR="00B37C46">
        <w:rPr>
          <w:rFonts w:ascii="Arial" w:hAnsi="Arial" w:cs="Arial"/>
          <w:sz w:val="28"/>
          <w:szCs w:val="28"/>
        </w:rPr>
        <w:t>, in which statistical significance is inferred from accurate model generalization</w:t>
      </w:r>
      <w:r w:rsidR="00630EE8">
        <w:rPr>
          <w:rFonts w:ascii="Arial" w:hAnsi="Arial" w:cs="Arial"/>
          <w:sz w:val="28"/>
          <w:szCs w:val="28"/>
        </w:rPr>
        <w:t xml:space="preserve">. </w:t>
      </w:r>
      <w:r w:rsidR="00DE4589">
        <w:rPr>
          <w:rFonts w:ascii="Arial" w:hAnsi="Arial" w:cs="Arial"/>
          <w:sz w:val="28"/>
          <w:szCs w:val="28"/>
        </w:rPr>
        <w:t xml:space="preserve">Other variables that reliably accumulated </w:t>
      </w:r>
      <w:r w:rsidR="00B37C46">
        <w:rPr>
          <w:rFonts w:ascii="Arial" w:hAnsi="Arial" w:cs="Arial"/>
          <w:sz w:val="28"/>
          <w:szCs w:val="28"/>
        </w:rPr>
        <w:t>EI</w:t>
      </w:r>
      <w:r w:rsidR="00DE4589">
        <w:rPr>
          <w:rFonts w:ascii="Arial" w:hAnsi="Arial" w:cs="Arial"/>
          <w:sz w:val="28"/>
          <w:szCs w:val="28"/>
        </w:rPr>
        <w:t xml:space="preserve"> included the right ventral diencephalon, right </w:t>
      </w:r>
      <w:proofErr w:type="spellStart"/>
      <w:r w:rsidR="00DE4589">
        <w:rPr>
          <w:rFonts w:ascii="Arial" w:hAnsi="Arial" w:cs="Arial"/>
          <w:sz w:val="28"/>
          <w:szCs w:val="28"/>
        </w:rPr>
        <w:t>accumbens</w:t>
      </w:r>
      <w:proofErr w:type="spellEnd"/>
      <w:r w:rsidR="00DE4589">
        <w:rPr>
          <w:rFonts w:ascii="Arial" w:hAnsi="Arial" w:cs="Arial"/>
          <w:sz w:val="28"/>
          <w:szCs w:val="28"/>
        </w:rPr>
        <w:t>, left pallidum and right caudate.</w:t>
      </w:r>
    </w:p>
    <w:p w14:paraId="3F5A4F2F" w14:textId="672F5E69" w:rsidR="005970AD" w:rsidRDefault="005970AD" w:rsidP="005F67D7">
      <w:pPr>
        <w:rPr>
          <w:rFonts w:ascii="Arial" w:hAnsi="Arial" w:cs="Arial"/>
          <w:b/>
          <w:bCs/>
          <w:sz w:val="28"/>
          <w:szCs w:val="28"/>
        </w:rPr>
      </w:pPr>
    </w:p>
    <w:p w14:paraId="667BB437" w14:textId="0CABD06D" w:rsidR="00DF4329" w:rsidRDefault="000F6161" w:rsidP="00DF4329">
      <w:pPr>
        <w:ind w:firstLine="720"/>
        <w:rPr>
          <w:rFonts w:ascii="Arial" w:hAnsi="Arial" w:cs="Arial"/>
          <w:sz w:val="28"/>
          <w:szCs w:val="28"/>
        </w:rPr>
      </w:pPr>
      <w:r>
        <w:rPr>
          <w:rFonts w:ascii="Arial" w:hAnsi="Arial" w:cs="Arial"/>
          <w:b/>
          <w:bCs/>
          <w:sz w:val="28"/>
          <w:szCs w:val="28"/>
        </w:rPr>
        <w:t xml:space="preserve">Figure </w:t>
      </w:r>
      <w:r w:rsidR="00F21639">
        <w:rPr>
          <w:rFonts w:ascii="Arial" w:hAnsi="Arial" w:cs="Arial"/>
          <w:b/>
          <w:bCs/>
          <w:sz w:val="28"/>
          <w:szCs w:val="28"/>
        </w:rPr>
        <w:t>4</w:t>
      </w:r>
      <w:r>
        <w:rPr>
          <w:rFonts w:ascii="Arial" w:hAnsi="Arial" w:cs="Arial"/>
          <w:sz w:val="28"/>
          <w:szCs w:val="28"/>
        </w:rPr>
        <w:t xml:space="preserve">. </w:t>
      </w:r>
      <w:r w:rsidRPr="00DE4589">
        <w:rPr>
          <w:rFonts w:ascii="Arial" w:hAnsi="Arial" w:cs="Arial"/>
        </w:rPr>
        <w:t xml:space="preserve">The plot contains </w:t>
      </w:r>
      <w:r>
        <w:rPr>
          <w:rFonts w:ascii="Arial" w:hAnsi="Arial" w:cs="Arial"/>
        </w:rPr>
        <w:t>one cell for each of the 6 ensembles (model-type by preprocessing-type combinations)</w:t>
      </w:r>
      <w:r w:rsidRPr="00DE4589">
        <w:rPr>
          <w:rFonts w:ascii="Arial" w:hAnsi="Arial" w:cs="Arial"/>
        </w:rPr>
        <w:t>.</w:t>
      </w:r>
      <w:r>
        <w:rPr>
          <w:rFonts w:ascii="Arial" w:hAnsi="Arial" w:cs="Arial"/>
        </w:rPr>
        <w:t xml:space="preserve"> </w:t>
      </w:r>
      <w:r w:rsidR="00B37C46">
        <w:rPr>
          <w:rFonts w:ascii="Arial" w:hAnsi="Arial" w:cs="Arial"/>
        </w:rPr>
        <w:t xml:space="preserve">Color-coding corresponds to the preprocessing pipeline, while the top row of plots </w:t>
      </w:r>
      <w:proofErr w:type="gramStart"/>
      <w:r w:rsidR="00B37C46">
        <w:rPr>
          <w:rFonts w:ascii="Arial" w:hAnsi="Arial" w:cs="Arial"/>
        </w:rPr>
        <w:t>pertain</w:t>
      </w:r>
      <w:proofErr w:type="gramEnd"/>
      <w:r w:rsidR="00B37C46">
        <w:rPr>
          <w:rFonts w:ascii="Arial" w:hAnsi="Arial" w:cs="Arial"/>
        </w:rPr>
        <w:t xml:space="preserve"> to the GBM ensembles, and the GLM ensembles for the same preprocessing pipeline plotted directly below. The x-axis plots the percent, </w:t>
      </w:r>
      <w:r w:rsidR="00A215CD">
        <w:rPr>
          <w:rFonts w:ascii="Arial" w:hAnsi="Arial" w:cs="Arial"/>
        </w:rPr>
        <w:t>positively or negatively</w:t>
      </w:r>
      <w:r w:rsidR="00B37C46">
        <w:rPr>
          <w:rFonts w:ascii="Arial" w:hAnsi="Arial" w:cs="Arial"/>
        </w:rPr>
        <w:t xml:space="preserve">, by which the </w:t>
      </w:r>
      <w:r w:rsidR="00A215CD">
        <w:rPr>
          <w:rFonts w:ascii="Arial" w:hAnsi="Arial" w:cs="Arial"/>
        </w:rPr>
        <w:t xml:space="preserve">ROCAUC of the ensemble computed in the validation population changes after randomly permuting </w:t>
      </w:r>
      <w:r w:rsidR="00A215CD">
        <w:rPr>
          <w:rFonts w:ascii="Arial" w:hAnsi="Arial" w:cs="Arial"/>
        </w:rPr>
        <w:lastRenderedPageBreak/>
        <w:t>each variable separately. The grey point cloud shows the null distribution for each variable’s EI, computed after also permuting the validation population group labels 1000 times. Opacity spans from 0% to 100% and is directly inversely proportional to the right-tailed permutation p-value for each variable’s observed EI. If an EI for a variable exceeded 99%, 95%, or 90% of its null values it is demarcated with an asterisk, plus sign, or superscript punctuation, respectively.</w:t>
      </w:r>
    </w:p>
    <w:sectPr w:rsidR="00DF4329" w:rsidSect="00CA643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2B562D"/>
    <w:multiLevelType w:val="hybridMultilevel"/>
    <w:tmpl w:val="7E9A8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BE6"/>
    <w:rsid w:val="000019BF"/>
    <w:rsid w:val="000F121A"/>
    <w:rsid w:val="000F6161"/>
    <w:rsid w:val="00132923"/>
    <w:rsid w:val="001D758F"/>
    <w:rsid w:val="0027445F"/>
    <w:rsid w:val="00301172"/>
    <w:rsid w:val="003C3547"/>
    <w:rsid w:val="00451204"/>
    <w:rsid w:val="00486553"/>
    <w:rsid w:val="004A3DC4"/>
    <w:rsid w:val="004E0B8C"/>
    <w:rsid w:val="004E213F"/>
    <w:rsid w:val="00573BE6"/>
    <w:rsid w:val="00593004"/>
    <w:rsid w:val="005970AD"/>
    <w:rsid w:val="005F67D7"/>
    <w:rsid w:val="00602654"/>
    <w:rsid w:val="00630EE8"/>
    <w:rsid w:val="0063236F"/>
    <w:rsid w:val="00654255"/>
    <w:rsid w:val="006A6787"/>
    <w:rsid w:val="00863F68"/>
    <w:rsid w:val="00884187"/>
    <w:rsid w:val="00907245"/>
    <w:rsid w:val="009F2F28"/>
    <w:rsid w:val="00A215CD"/>
    <w:rsid w:val="00A67298"/>
    <w:rsid w:val="00B22B3A"/>
    <w:rsid w:val="00B37C46"/>
    <w:rsid w:val="00BB6DBB"/>
    <w:rsid w:val="00C93162"/>
    <w:rsid w:val="00CA6436"/>
    <w:rsid w:val="00CF50A6"/>
    <w:rsid w:val="00D17C78"/>
    <w:rsid w:val="00D9778A"/>
    <w:rsid w:val="00DD1F69"/>
    <w:rsid w:val="00DE4589"/>
    <w:rsid w:val="00DF4329"/>
    <w:rsid w:val="00F21639"/>
    <w:rsid w:val="00F24401"/>
    <w:rsid w:val="00F77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A061E"/>
  <w15:chartTrackingRefBased/>
  <w15:docId w15:val="{0BF9118C-B289-6E49-ACA9-3EB6D326C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B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1877</Words>
  <Characters>10703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Ian J</dc:creator>
  <cp:keywords/>
  <dc:description/>
  <cp:lastModifiedBy>Douglas, Ian J</cp:lastModifiedBy>
  <cp:revision>2</cp:revision>
  <dcterms:created xsi:type="dcterms:W3CDTF">2021-02-23T22:01:00Z</dcterms:created>
  <dcterms:modified xsi:type="dcterms:W3CDTF">2021-02-23T22:01:00Z</dcterms:modified>
</cp:coreProperties>
</file>