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R3-CHAIN Final Research-Alignment Implementation Specification</w:t>
      </w:r>
    </w:p>
    <w:p>
      <w:pPr>
        <w:pStyle w:val="Subtitle"/>
      </w:pPr>
      <w:r>
        <w:t xml:space="preserve">Complete implementation contract for Claude Code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7" w:name="Xa5ecdcba06abd12a481f74fc01d34a0bbe53d4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R3-CHAIN Final Research-Alignment Implementation Specification</w:t>
      </w:r>
    </w:p>
    <w:p>
      <w:pPr>
        <w:pStyle w:val="FirstParagraph"/>
      </w:pPr>
      <w:r>
        <w:rPr>
          <w:b/>
          <w:bCs/>
        </w:rPr>
        <w:t xml:space="preserve">Complete implementation contract for Claude Code</w:t>
      </w:r>
      <w:r>
        <w:br/>
      </w:r>
      <w:r>
        <w:rPr>
          <w:b/>
          <w:bCs/>
        </w:rPr>
        <w:t xml:space="preserve">Target repository:</w:t>
      </w:r>
      <w:r>
        <w:t xml:space="preserve"> </w:t>
      </w:r>
      <w:r>
        <w:rPr>
          <w:rStyle w:val="VerbatimChar"/>
        </w:rPr>
        <w:t xml:space="preserve">ijhewaratne/r3chain-geothermal-orchestration</w:t>
      </w:r>
      <w:r>
        <w:br/>
      </w:r>
      <w:r>
        <w:rPr>
          <w:b/>
          <w:bCs/>
        </w:rPr>
        <w:t xml:space="preserve">Target baseline:</w:t>
      </w:r>
      <w:r>
        <w:t xml:space="preserve"> </w:t>
      </w:r>
      <w:r>
        <w:t xml:space="preserve">latest remote</w:t>
      </w:r>
      <w:r>
        <w:t xml:space="preserve"> </w:t>
      </w:r>
      <w:r>
        <w:rPr>
          <w:rStyle w:val="VerbatimChar"/>
        </w:rPr>
        <w:t xml:space="preserve">feature/complete-synthetic-prototype</w:t>
      </w:r>
      <w:r>
        <w:br/>
      </w:r>
      <w:r>
        <w:rPr>
          <w:b/>
          <w:bCs/>
        </w:rPr>
        <w:t xml:space="preserve">Prepared:</w:t>
      </w:r>
      <w:r>
        <w:t xml:space="preserve"> </w:t>
      </w:r>
      <w:r>
        <w:t xml:space="preserve">2026-09-05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normative implementation specification</w:t>
      </w:r>
    </w:p>
    <w:p>
      <w:r>
        <w:pict>
          <v:rect style="width:0;height:1.5pt" o:hralign="center" o:hrstd="t" o:hr="t"/>
        </w:pict>
      </w:r>
    </w:p>
    <w:bookmarkStart w:id="20" w:name="X781c063750efa5c3bad4c125db07814df06d575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0. Purpose and executive decision</w:t>
      </w:r>
    </w:p>
    <w:p>
      <w:pPr>
        <w:pStyle w:val="FirstParagraph"/>
      </w:pPr>
      <w:r>
        <w:t xml:space="preserve">The repository already contains a mature corrected synthetic joint site–connection workflow. This specification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authorize another architecture redesign. Its purpose is to align the existing v2 software with the final six-week research methodology.</w:t>
      </w:r>
    </w:p>
    <w:p>
      <w:pPr>
        <w:pStyle w:val="BodyText"/>
      </w:pPr>
      <w:r>
        <w:t xml:space="preserve">The implementation objective is:</w:t>
      </w:r>
    </w:p>
    <w:p>
      <w:pPr>
        <w:pStyle w:val="BlockText"/>
      </w:pPr>
      <w:r>
        <w:t xml:space="preserve">Build a reproducible research experiment around the existing v2 workflow in which (1) geothermal-only, (2) network-only, and (3) integrated site–connection assessments are compared under the same declared assumptions; the integrated alternatives are evaluated across a small set of representative steady-state load conditions; technically infeasible alternatives are excluded before economics; feasible alternatives are ranked primarily by annualized system LCOH with materiality-aware ties; the existing Pareto analysis remains available as a secondary diagnostic; and a controlled sensitivity study reports whether the preferred configuration is stable over the tested assumption range.</w:t>
      </w:r>
    </w:p>
    <w:p>
      <w:pPr>
        <w:pStyle w:val="FirstParagraph"/>
      </w:pPr>
      <w:r>
        <w:t xml:space="preserve">The scientific question is:</w:t>
      </w:r>
    </w:p>
    <w:p>
      <w:pPr>
        <w:pStyle w:val="BlockText"/>
      </w:pPr>
      <w:r>
        <w:rPr>
          <w:b/>
          <w:bCs/>
        </w:rPr>
        <w:t xml:space="preserve">Does the geothermal resource/site preferred by source-side analysis remain preferred once its actual district-heating integration is considered?</w:t>
      </w:r>
    </w:p>
    <w:p>
      <w:pPr>
        <w:pStyle w:val="FirstParagraph"/>
      </w:pPr>
      <w:r>
        <w:t xml:space="preserve">The implementation shall preserve the existing canonical C1–C4 workflow and the corrected v2 synthetic joint workflow. The new research-alignment layer shall sit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those workflows and reuse them rather than duplicating their physics.</w:t>
      </w:r>
    </w:p>
    <w:p>
      <w:r>
        <w:pict>
          <v:rect style="width:0;height:1.5pt" o:hralign="center" o:hrstd="t" o:hr="t"/>
        </w:pict>
      </w:r>
    </w:p>
    <w:bookmarkEnd w:id="20"/>
    <w:bookmarkStart w:id="21" w:name="X0b0a5d42afb7342a16ac6ebbde585cee74442d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Authority hierarchy</w:t>
      </w:r>
    </w:p>
    <w:p>
      <w:pPr>
        <w:pStyle w:val="FirstParagraph"/>
      </w:pPr>
      <w:r>
        <w:t xml:space="preserve">After this specification is added to the repository, ambiguity shall be resolved in this order: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docs/specifications/R3CHAIN_FINAL_RESEARCH_ALIGNMENT_IMPLEMENTATION_SPEC.md</w:t>
      </w:r>
      <w:r>
        <w:t xml:space="preserve"> </w:t>
      </w:r>
      <w:r>
        <w:t xml:space="preserve">— authoritative for the final six-week research experiment and its completion criteria.</w:t>
      </w:r>
    </w:p>
    <w:p>
      <w:pPr>
        <w:pStyle w:val="Compact"/>
        <w:numPr>
          <w:ilvl w:val="0"/>
          <w:numId w:val="1001"/>
        </w:numPr>
      </w:pPr>
      <w:r>
        <w:t xml:space="preserve">Executable code and tests — authoritative evidence of implemented behavior.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docs/specifications/R3CHAIN_CORRECTED_JOINT_SITE_CONNECTION_IMPLEMENTATION_SPEC.md</w:t>
      </w:r>
      <w:r>
        <w:t xml:space="preserve"> </w:t>
      </w:r>
      <w:r>
        <w:t xml:space="preserve">— authoritative for the v2 joint site–connection architecture and contracts.</w:t>
      </w:r>
    </w:p>
    <w:p>
      <w:pPr>
        <w:pStyle w:val="Compact"/>
        <w:numPr>
          <w:ilvl w:val="0"/>
          <w:numId w:val="1001"/>
        </w:numPr>
      </w:pPr>
      <w:r>
        <w:t xml:space="preserve">Current ADR/scope decisions — explain approved scope history and limitations.</w:t>
      </w:r>
    </w:p>
    <w:p>
      <w:pPr>
        <w:pStyle w:val="Compact"/>
        <w:numPr>
          <w:ilvl w:val="0"/>
          <w:numId w:val="1001"/>
        </w:numPr>
      </w:pPr>
      <w:r>
        <w:t xml:space="preserve">README, acceptance criteria, traceability matrix and CLAUDE.md — user-facing current status.</w:t>
      </w:r>
    </w:p>
    <w:p>
      <w:pPr>
        <w:pStyle w:val="Compact"/>
        <w:numPr>
          <w:ilvl w:val="0"/>
          <w:numId w:val="1001"/>
        </w:numPr>
      </w:pPr>
      <w:r>
        <w:t xml:space="preserve">Original six-week implementation plan — historical record only.</w:t>
      </w:r>
    </w:p>
    <w:p>
      <w:pPr>
        <w:pStyle w:val="FirstParagraph"/>
      </w:pPr>
      <w:r>
        <w:t xml:space="preserve">This specification supersedes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research-completion/experimental-alignment layer. It does not invalidate the v2 architecture specification.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Xb258e162f7db9e05bc6a58da6f97ed63796182b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Repository facts that must be preserved</w:t>
      </w:r>
    </w:p>
    <w:p>
      <w:pPr>
        <w:pStyle w:val="FirstParagraph"/>
      </w:pPr>
      <w:r>
        <w:t xml:space="preserve">The implementation shall begin with a read-only audit and verify these facts against the current remote branch rather than assuming them.</w:t>
      </w:r>
    </w:p>
    <w:p>
      <w:pPr>
        <w:pStyle w:val="BodyText"/>
      </w:pPr>
      <w:r>
        <w:t xml:space="preserve">At the inspected repository state: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feature/complete-synthetic-prototype</w:t>
      </w:r>
      <w:r>
        <w:t xml:space="preserve"> </w:t>
      </w:r>
      <w:r>
        <w:t xml:space="preserve">contains the corrected v2 methodology.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workflow/joint_workflow_v2.py</w:t>
      </w:r>
      <w:r>
        <w:t xml:space="preserve"> </w:t>
      </w:r>
      <w:r>
        <w:t xml:space="preserve">is the corrected joint site–connection workflow.</w:t>
      </w:r>
    </w:p>
    <w:p>
      <w:pPr>
        <w:pStyle w:val="Compact"/>
        <w:numPr>
          <w:ilvl w:val="0"/>
          <w:numId w:val="1002"/>
        </w:numPr>
      </w:pPr>
      <w:r>
        <w:t xml:space="preserve">v2 represents explicit coordinate-bearing surface sites, site-linked geothermal scenarios, site-specific routes, compatible alternative enumeration, executable connection-pipe diameter, technical gates, economics, Pareto decision logic, deterministic artifacts, CLI/MCP dispatch and persistent-registry rehydration.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decision/joint_policy.py</w:t>
      </w:r>
      <w:r>
        <w:t xml:space="preserve"> </w:t>
      </w:r>
      <w:r>
        <w:t xml:space="preserve">already supports both</w:t>
      </w:r>
      <w:r>
        <w:t xml:space="preserve"> </w:t>
      </w:r>
      <w:r>
        <w:rPr>
          <w:rStyle w:val="VerbatimChar"/>
        </w:rPr>
        <w:t xml:space="preserve">pareto_only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primary_objective_ranking</w:t>
      </w:r>
      <w:r>
        <w:t xml:space="preserve">, including materiality-aware rank groups and a preferred alternative only when rank 1 is unique.</w:t>
      </w:r>
    </w:p>
    <w:p>
      <w:pPr>
        <w:pStyle w:val="Compact"/>
        <w:numPr>
          <w:ilvl w:val="0"/>
          <w:numId w:val="1002"/>
        </w:numPr>
      </w:pPr>
      <w:r>
        <w:t xml:space="preserve">the committed synthetic v2 study package currently uses</w:t>
      </w:r>
      <w:r>
        <w:t xml:space="preserve"> </w:t>
      </w:r>
      <w:r>
        <w:rPr>
          <w:rStyle w:val="VerbatimChar"/>
        </w:rPr>
        <w:t xml:space="preserve">mode: pareto_only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primary_objective: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annual_operating_hours: 8000.0</w:t>
      </w:r>
      <w:r>
        <w:t xml:space="preserve">, 4% discount rate, 25-year analysis period, EUR 180/MWh electricity, EUR 90/MWh auxiliary heat, and synthetic cost provenance.</w:t>
      </w:r>
    </w:p>
    <w:p>
      <w:pPr>
        <w:pStyle w:val="Compact"/>
        <w:numPr>
          <w:ilvl w:val="0"/>
          <w:numId w:val="1002"/>
        </w:numPr>
      </w:pPr>
      <w:r>
        <w:t xml:space="preserve">the existing v2 workflow and existing v2 study package are historical/scientific baselines and must not be silently mutated to create the new research experiment.</w:t>
      </w:r>
    </w:p>
    <w:p>
      <w:pPr>
        <w:pStyle w:val="Compact"/>
        <w:numPr>
          <w:ilvl w:val="0"/>
          <w:numId w:val="1002"/>
        </w:numPr>
      </w:pPr>
      <w:r>
        <w:t xml:space="preserve">all real-location conclusions remain blocked because the current v2 study is synthetic.</w:t>
      </w:r>
    </w:p>
    <w:p>
      <w:pPr>
        <w:pStyle w:val="FirstParagraph"/>
      </w:pPr>
      <w:r>
        <w:t xml:space="preserve">The implementation must preserve the canonical fixed-source C1–C4 baseline and must not reinterpret it as a drilling-site result.</w:t>
      </w:r>
    </w:p>
    <w:p>
      <w:r>
        <w:pict>
          <v:rect style="width:0;height:1.5pt" o:hralign="center" o:hrstd="t" o:hr="t"/>
        </w:pict>
      </w:r>
    </w:p>
    <w:bookmarkEnd w:id="22"/>
    <w:bookmarkStart w:id="25" w:name="Xbcf1ea0af7a390c2def1ff72353a38155d3cb30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Final six-week research scope</w:t>
      </w:r>
    </w:p>
    <w:bookmarkStart w:id="23" w:name="Xf555d55da0701c310b283d7b84f84d1bacfe47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Included</w:t>
      </w:r>
    </w:p>
    <w:p>
      <w:pPr>
        <w:pStyle w:val="FirstParagraph"/>
      </w:pPr>
      <w:r>
        <w:t xml:space="preserve">The final synthetic research prototype shall contain:</w:t>
      </w:r>
    </w:p>
    <w:p>
      <w:pPr>
        <w:pStyle w:val="Compact"/>
        <w:numPr>
          <w:ilvl w:val="0"/>
          <w:numId w:val="1003"/>
        </w:numPr>
      </w:pPr>
      <w:r>
        <w:t xml:space="preserve">a fixed four-consumer district-heating supply/return network;</w:t>
      </w:r>
    </w:p>
    <w:p>
      <w:pPr>
        <w:pStyle w:val="Compact"/>
        <w:numPr>
          <w:ilvl w:val="0"/>
          <w:numId w:val="1003"/>
        </w:numPr>
      </w:pPr>
      <w:r>
        <w:t xml:space="preserve">explicit geothermal surface sites and site-linked resource scenarios;</w:t>
      </w:r>
    </w:p>
    <w:p>
      <w:pPr>
        <w:pStyle w:val="Compact"/>
        <w:numPr>
          <w:ilvl w:val="0"/>
          <w:numId w:val="1003"/>
        </w:numPr>
      </w:pPr>
      <w:r>
        <w:t xml:space="preserve">explicit network attachments and site-specific connection routes;</w:t>
      </w:r>
    </w:p>
    <w:p>
      <w:pPr>
        <w:pStyle w:val="Compact"/>
        <w:numPr>
          <w:ilvl w:val="0"/>
          <w:numId w:val="1003"/>
        </w:numPr>
      </w:pPr>
      <w:r>
        <w:t xml:space="preserve">PyDoublet-result validation and the existing heat-exchanger boundary;</w:t>
      </w:r>
    </w:p>
    <w:p>
      <w:pPr>
        <w:pStyle w:val="Compact"/>
        <w:numPr>
          <w:ilvl w:val="0"/>
          <w:numId w:val="1003"/>
        </w:numPr>
      </w:pPr>
      <w:r>
        <w:t xml:space="preserve">pandapipes steady-state thermo-hydraulic evaluation;</w:t>
      </w:r>
    </w:p>
    <w:p>
      <w:pPr>
        <w:pStyle w:val="Compact"/>
        <w:numPr>
          <w:ilvl w:val="0"/>
          <w:numId w:val="1003"/>
        </w:numPr>
      </w:pPr>
      <w:r>
        <w:t xml:space="preserve">ordered geothermal/HX/network feasibility gates before economics;</w:t>
      </w:r>
    </w:p>
    <w:p>
      <w:pPr>
        <w:pStyle w:val="Compact"/>
        <w:numPr>
          <w:ilvl w:val="0"/>
          <w:numId w:val="1003"/>
        </w:numPr>
      </w:pPr>
      <w:r>
        <w:t xml:space="preserve">exhaustive evaluation of every compatible synthetic alternative;</w:t>
      </w:r>
    </w:p>
    <w:p>
      <w:pPr>
        <w:pStyle w:val="Compact"/>
        <w:numPr>
          <w:ilvl w:val="0"/>
          <w:numId w:val="1003"/>
        </w:numPr>
      </w:pPr>
      <w:r>
        <w:t xml:space="preserve">three representative steady-state load conditions for annualization;</w:t>
      </w:r>
    </w:p>
    <w:p>
      <w:pPr>
        <w:pStyle w:val="Compact"/>
        <w:numPr>
          <w:ilvl w:val="0"/>
          <w:numId w:val="1003"/>
        </w:numPr>
      </w:pPr>
      <w:r>
        <w:t xml:space="preserve">system-level annualized CAPEX/OPEX and useful-heat LCOH;</w:t>
      </w:r>
    </w:p>
    <w:p>
      <w:pPr>
        <w:pStyle w:val="Compact"/>
        <w:numPr>
          <w:ilvl w:val="0"/>
          <w:numId w:val="1003"/>
        </w:numPr>
      </w:pPr>
      <w:r>
        <w:t xml:space="preserve">a primary materiality-aware LCOH ranking;</w:t>
      </w:r>
    </w:p>
    <w:p>
      <w:pPr>
        <w:pStyle w:val="Compact"/>
        <w:numPr>
          <w:ilvl w:val="0"/>
          <w:numId w:val="1003"/>
        </w:numPr>
      </w:pPr>
      <w:r>
        <w:t xml:space="preserve">the existing Pareto shortlist as a secondary diagnostic;</w:t>
      </w:r>
    </w:p>
    <w:p>
      <w:pPr>
        <w:pStyle w:val="Compact"/>
        <w:numPr>
          <w:ilvl w:val="0"/>
          <w:numId w:val="1003"/>
        </w:numPr>
      </w:pPr>
      <w:r>
        <w:t xml:space="preserve">a geothermal-only baseline;</w:t>
      </w:r>
    </w:p>
    <w:p>
      <w:pPr>
        <w:pStyle w:val="Compact"/>
        <w:numPr>
          <w:ilvl w:val="0"/>
          <w:numId w:val="1003"/>
        </w:numPr>
      </w:pPr>
      <w:r>
        <w:t xml:space="preserve">a network-only baseline;</w:t>
      </w:r>
    </w:p>
    <w:p>
      <w:pPr>
        <w:pStyle w:val="Compact"/>
        <w:numPr>
          <w:ilvl w:val="0"/>
          <w:numId w:val="1003"/>
        </w:numPr>
      </w:pPr>
      <w:r>
        <w:t xml:space="preserve">an integrated baseline;</w:t>
      </w:r>
    </w:p>
    <w:p>
      <w:pPr>
        <w:pStyle w:val="Compact"/>
        <w:numPr>
          <w:ilvl w:val="0"/>
          <w:numId w:val="1003"/>
        </w:numPr>
      </w:pPr>
      <w:r>
        <w:t xml:space="preserve">explicit comparison of those three results;</w:t>
      </w:r>
    </w:p>
    <w:p>
      <w:pPr>
        <w:pStyle w:val="Compact"/>
        <w:numPr>
          <w:ilvl w:val="0"/>
          <w:numId w:val="1003"/>
        </w:numPr>
      </w:pPr>
      <w:r>
        <w:t xml:space="preserve">a small, controlled ranking-robustness/sensitivity study;</w:t>
      </w:r>
    </w:p>
    <w:p>
      <w:pPr>
        <w:pStyle w:val="Compact"/>
        <w:numPr>
          <w:ilvl w:val="0"/>
          <w:numId w:val="1003"/>
        </w:numPr>
      </w:pPr>
      <w:r>
        <w:t xml:space="preserve">deterministic CLI/Python/MCP orchestration;</w:t>
      </w:r>
    </w:p>
    <w:p>
      <w:pPr>
        <w:pStyle w:val="Compact"/>
        <w:numPr>
          <w:ilvl w:val="0"/>
          <w:numId w:val="1003"/>
        </w:numPr>
      </w:pPr>
      <w:r>
        <w:t xml:space="preserve">complete provenance and hash-audited artifacts;</w:t>
      </w:r>
    </w:p>
    <w:p>
      <w:pPr>
        <w:pStyle w:val="Compact"/>
        <w:numPr>
          <w:ilvl w:val="0"/>
          <w:numId w:val="1003"/>
        </w:numPr>
      </w:pPr>
      <w:r>
        <w:t xml:space="preserve">explicit synthetic/indicative caveats.</w:t>
      </w:r>
    </w:p>
    <w:bookmarkEnd w:id="23"/>
    <w:bookmarkStart w:id="24" w:name="X6177e5544d1c78f001dd7601c2622bded09ccb7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Excluded from the six-week acceptance criteria</w:t>
      </w:r>
    </w:p>
    <w:p>
      <w:pPr>
        <w:pStyle w:val="FirstParagraph"/>
      </w:pPr>
      <w:r>
        <w:t xml:space="preserve">Do not implement these merely to make the prototype appear more sophisticated:</w:t>
      </w:r>
    </w:p>
    <w:p>
      <w:pPr>
        <w:pStyle w:val="Compact"/>
        <w:numPr>
          <w:ilvl w:val="0"/>
          <w:numId w:val="1004"/>
        </w:numPr>
      </w:pPr>
      <w:r>
        <w:t xml:space="preserve">real Wuppertal drilling recommendations;</w:t>
      </w:r>
    </w:p>
    <w:p>
      <w:pPr>
        <w:pStyle w:val="Compact"/>
        <w:numPr>
          <w:ilvl w:val="0"/>
          <w:numId w:val="1004"/>
        </w:numPr>
      </w:pPr>
      <w:r>
        <w:t xml:space="preserve">fabricated geology or land availability;</w:t>
      </w:r>
    </w:p>
    <w:p>
      <w:pPr>
        <w:pStyle w:val="Compact"/>
        <w:numPr>
          <w:ilvl w:val="0"/>
          <w:numId w:val="1004"/>
        </w:numPr>
      </w:pPr>
      <w:r>
        <w:t xml:space="preserve">reservoir transient simulation;</w:t>
      </w:r>
    </w:p>
    <w:p>
      <w:pPr>
        <w:pStyle w:val="Compact"/>
        <w:numPr>
          <w:ilvl w:val="0"/>
          <w:numId w:val="1004"/>
        </w:numPr>
      </w:pPr>
      <w:r>
        <w:t xml:space="preserve">full bidirectional annual PyDoublet–pandapipes co-simulation;</w:t>
      </w:r>
    </w:p>
    <w:p>
      <w:pPr>
        <w:pStyle w:val="Compact"/>
        <w:numPr>
          <w:ilvl w:val="0"/>
          <w:numId w:val="1004"/>
        </w:numPr>
      </w:pPr>
      <w:r>
        <w:t xml:space="preserve">Drews-style Monte Carlo exploration-risk portfolios;</w:t>
      </w:r>
    </w:p>
    <w:p>
      <w:pPr>
        <w:pStyle w:val="Compact"/>
        <w:numPr>
          <w:ilvl w:val="0"/>
          <w:numId w:val="1004"/>
        </w:numPr>
      </w:pPr>
      <w:r>
        <w:t xml:space="preserve">risk-adjusted LCOH unless approved probabilistic inputs are supplied;</w:t>
      </w:r>
    </w:p>
    <w:p>
      <w:pPr>
        <w:pStyle w:val="Compact"/>
        <w:numPr>
          <w:ilvl w:val="0"/>
          <w:numId w:val="1004"/>
        </w:numPr>
      </w:pPr>
      <w:r>
        <w:t xml:space="preserve">simultaneous district-heating network topology redesign;</w:t>
      </w:r>
    </w:p>
    <w:p>
      <w:pPr>
        <w:pStyle w:val="Compact"/>
        <w:numPr>
          <w:ilvl w:val="0"/>
          <w:numId w:val="1004"/>
        </w:numPr>
      </w:pPr>
      <w:r>
        <w:t xml:space="preserve">automatic pipe-diameter optimization across the complete network;</w:t>
      </w:r>
    </w:p>
    <w:p>
      <w:pPr>
        <w:pStyle w:val="Compact"/>
        <w:numPr>
          <w:ilvl w:val="0"/>
          <w:numId w:val="1004"/>
        </w:numPr>
      </w:pPr>
      <w:r>
        <w:t xml:space="preserve">producer/injector underground trajectory optimization;</w:t>
      </w:r>
    </w:p>
    <w:p>
      <w:pPr>
        <w:pStyle w:val="Compact"/>
        <w:numPr>
          <w:ilvl w:val="0"/>
          <w:numId w:val="1004"/>
        </w:numPr>
      </w:pPr>
      <w:r>
        <w:t xml:space="preserve">steam-network conversion;</w:t>
      </w:r>
    </w:p>
    <w:p>
      <w:pPr>
        <w:pStyle w:val="Compact"/>
        <w:numPr>
          <w:ilvl w:val="0"/>
          <w:numId w:val="1004"/>
        </w:numPr>
      </w:pPr>
      <w:r>
        <w:t xml:space="preserve">multiple-doublet portfolio optimization;</w:t>
      </w:r>
    </w:p>
    <w:p>
      <w:pPr>
        <w:pStyle w:val="Compact"/>
        <w:numPr>
          <w:ilvl w:val="0"/>
          <w:numId w:val="1004"/>
        </w:numPr>
      </w:pPr>
      <w:r>
        <w:t xml:space="preserve">opaque MILP/GA/LLM optimization;</w:t>
      </w:r>
    </w:p>
    <w:p>
      <w:pPr>
        <w:pStyle w:val="Compact"/>
        <w:numPr>
          <w:ilvl w:val="0"/>
          <w:numId w:val="1004"/>
        </w:numPr>
      </w:pPr>
      <w:r>
        <w:t xml:space="preserve">LLM-generated feasibility decisions, costs or rankings;</w:t>
      </w:r>
    </w:p>
    <w:p>
      <w:pPr>
        <w:pStyle w:val="Compact"/>
        <w:numPr>
          <w:ilvl w:val="0"/>
          <w:numId w:val="1004"/>
        </w:numPr>
      </w:pPr>
      <w:r>
        <w:t xml:space="preserve">a seventh MCP tool or a separate PyDoublet MCP server.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9bf49d1a4441d01ea5cfde5f4c621f58787de59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Correct decision entity and active dimensions</w:t>
      </w:r>
    </w:p>
    <w:p>
      <w:pPr>
        <w:pStyle w:val="FirstParagraph"/>
      </w:pPr>
      <w:r>
        <w:t xml:space="preserve">Retain the v2 definition:</w:t>
      </w:r>
    </w:p>
    <w:p>
      <w:pPr>
        <w:pStyle w:val="BodyText"/>
      </w:pPr>
      <w:r>
        <w:rPr>
          <w:rStyle w:val="VerbatimChar"/>
        </w:rPr>
        <w:t xml:space="preserve">x = (s, g, a, r, d, o)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= surface geothermal site / energy-centre location;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= geothermal resource scenario linked to</w:t>
      </w:r>
      <w:r>
        <w:t xml:space="preserve"> </w:t>
      </w:r>
      <w:r>
        <w:rPr>
          <w:rStyle w:val="VerbatimChar"/>
        </w:rPr>
        <w:t xml:space="preserve">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= district-heating network attachment;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= site-specific route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= connection design option;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= operating policy.</w:t>
      </w:r>
    </w:p>
    <w:p>
      <w:pPr>
        <w:pStyle w:val="FirstParagraph"/>
      </w:pPr>
      <w:r>
        <w:t xml:space="preserve">Only compatible alternatives may be evaluated:</w:t>
      </w:r>
    </w:p>
    <w:p>
      <w:pPr>
        <w:pStyle w:val="BodyText"/>
      </w:pPr>
      <w:r>
        <w:rPr>
          <w:rStyle w:val="VerbatimChar"/>
        </w:rPr>
        <w:t xml:space="preserve">g.site == s</w:t>
      </w:r>
      <w:r>
        <w:t xml:space="preserve">,</w:t>
      </w:r>
      <w:r>
        <w:t xml:space="preserve"> </w:t>
      </w:r>
      <w:r>
        <w:rPr>
          <w:rStyle w:val="VerbatimChar"/>
        </w:rPr>
        <w:t xml:space="preserve">r.site == s</w:t>
      </w:r>
      <w:r>
        <w:t xml:space="preserve">,</w:t>
      </w:r>
      <w:r>
        <w:t xml:space="preserve"> </w:t>
      </w:r>
      <w:r>
        <w:rPr>
          <w:rStyle w:val="VerbatimChar"/>
        </w:rPr>
        <w:t xml:space="preserve">r.attachment == a</w:t>
      </w:r>
      <w:r>
        <w:t xml:space="preserve">, with design and operating-policy compatibility satisfied.</w:t>
      </w:r>
    </w:p>
    <w:p>
      <w:pPr>
        <w:pStyle w:val="BodyText"/>
      </w:pPr>
      <w:r>
        <w:t xml:space="preserve">Do not collapse geothermal site and network attachment into one “location”. Do not describe controlled one-value dimensions as optimized axes.</w:t>
      </w:r>
    </w:p>
    <w:p>
      <w:r>
        <w:pict>
          <v:rect style="width:0;height:1.5pt" o:hralign="center" o:hrstd="t" o:hr="t"/>
        </w:pict>
      </w:r>
    </w:p>
    <w:bookmarkEnd w:id="26"/>
    <w:bookmarkStart w:id="29" w:name="Xa602c0f60e001da1e890df4d3362666a94ce781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New implementation layer: research experiment workflow</w:t>
      </w:r>
    </w:p>
    <w:bookmarkStart w:id="27" w:name="Xb267b7df8b3342b0a4bbc5c642d0b0f6bdf34d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Architectural rule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run_joint_workflow_v2()</w:t>
      </w:r>
      <w:r>
        <w:t xml:space="preserve"> </w:t>
      </w:r>
      <w:r>
        <w:t xml:space="preserve">into a monolithic research function.</w:t>
      </w:r>
    </w:p>
    <w:p>
      <w:pPr>
        <w:pStyle w:val="BodyText"/>
      </w:pPr>
      <w:r>
        <w:t xml:space="preserve">Add a higher-level deterministic experiment workflow that calls/reuses existing scientific components.</w:t>
      </w:r>
    </w:p>
    <w:p>
      <w:pPr>
        <w:pStyle w:val="BodyText"/>
      </w:pPr>
      <w:r>
        <w:t xml:space="preserve">Preferred boundary: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data_contracts/research_experiment.py</w:t>
      </w:r>
      <w:r>
        <w:t xml:space="preserve"> </w:t>
      </w:r>
      <w:r>
        <w:t xml:space="preserve">— research experiment contracts;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workflow/research_experiment.py</w:t>
      </w:r>
      <w:r>
        <w:t xml:space="preserve"> </w:t>
      </w:r>
      <w:r>
        <w:t xml:space="preserve">— experiment orchestration;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workflow/research_baselines.py</w:t>
      </w:r>
      <w:r>
        <w:t xml:space="preserve"> </w:t>
      </w:r>
      <w:r>
        <w:t xml:space="preserve">— geothermal-only and network-only baselines;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workflow/load_state_evaluation.py</w:t>
      </w:r>
      <w:r>
        <w:t xml:space="preserve"> </w:t>
      </w:r>
      <w:r>
        <w:t xml:space="preserve">— per-load-state evaluation/aggregation;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economics/annualized_system_costing.py</w:t>
      </w:r>
      <w:r>
        <w:t xml:space="preserve"> </w:t>
      </w:r>
      <w:r>
        <w:t xml:space="preserve">— annual aggregation without duplicating canonical cost formulas;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decision/research_comparison.py</w:t>
      </w:r>
      <w:r>
        <w:t xml:space="preserve"> </w:t>
      </w:r>
      <w:r>
        <w:t xml:space="preserve">— baseline comparison and robustness classification;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workflow/research_experiment_export.py</w:t>
      </w:r>
      <w:r>
        <w:t xml:space="preserve"> </w:t>
      </w:r>
      <w:r>
        <w:t xml:space="preserve">— artifacts;</w:t>
      </w:r>
    </w:p>
    <w:p>
      <w:pPr>
        <w:pStyle w:val="FirstParagraph"/>
      </w:pPr>
      <w:r>
        <w:t xml:space="preserve">Exact filenames may follow repository conventions, but responsibilities must remain separated and independently testable.</w:t>
      </w:r>
    </w:p>
    <w:bookmarkEnd w:id="27"/>
    <w:bookmarkStart w:id="28" w:name="X1862722b354a3239aa3f5609528cf086ca87f17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Public entry point</w:t>
      </w:r>
    </w:p>
    <w:p>
      <w:pPr>
        <w:pStyle w:val="FirstParagraph"/>
      </w:pPr>
      <w:r>
        <w:t xml:space="preserve">Add one authoritative Python entry point, e.g.:</w:t>
      </w:r>
    </w:p>
    <w:p>
      <w:pPr>
        <w:pStyle w:val="BodyText"/>
      </w:pPr>
      <w:r>
        <w:rPr>
          <w:rStyle w:val="VerbatimChar"/>
        </w:rPr>
        <w:t xml:space="preserve">run_research_experiment(...) -&gt; ResearchExperimentResult | ResearchExperimentFailure</w:t>
      </w:r>
    </w:p>
    <w:p>
      <w:pPr>
        <w:pStyle w:val="BodyText"/>
      </w:pPr>
      <w:r>
        <w:t xml:space="preserve">The CLI and</w:t>
      </w:r>
      <w:r>
        <w:t xml:space="preserve"> </w:t>
      </w:r>
      <w:r>
        <w:rPr>
          <w:rStyle w:val="VerbatimChar"/>
        </w:rPr>
        <w:t xml:space="preserve">geo_run_workflow</w:t>
      </w:r>
      <w:r>
        <w:t xml:space="preserve"> </w:t>
      </w:r>
      <w:r>
        <w:t xml:space="preserve">shall dispatch to this same entry point.</w:t>
      </w:r>
    </w:p>
    <w:p>
      <w:pPr>
        <w:pStyle w:val="BodyText"/>
      </w:pPr>
      <w:r>
        <w:t xml:space="preserve">No physics or ranking logic may be implemented in CLI/MCP wrappers.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3dd4e4d078eecc1170d2242b7d7d20f52e1d863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ResearchExperimentPackage contract</w:t>
      </w:r>
    </w:p>
    <w:p>
      <w:pPr>
        <w:pStyle w:val="FirstParagraph"/>
      </w:pPr>
      <w:r>
        <w:t xml:space="preserve">Add a versioned typed package. Suggested schema:</w:t>
      </w:r>
    </w:p>
    <w:p>
      <w:pPr>
        <w:pStyle w:val="SourceCode"/>
      </w:pPr>
      <w:r>
        <w:rPr>
          <w:rStyle w:val="FunctionTok"/>
        </w:rPr>
        <w:t xml:space="preserve">experiment_schema_version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experiment_id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synthetic</w:t>
      </w:r>
      <w:r>
        <w:br/>
      </w:r>
      <w:r>
        <w:rPr>
          <w:rStyle w:val="FunctionTok"/>
        </w:rPr>
        <w:t xml:space="preserve">base_joint_study_package_path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base_joint_study_package_sha256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load_states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list[LoadState]</w:t>
      </w:r>
      <w:r>
        <w:br/>
      </w:r>
      <w:r>
        <w:rPr>
          <w:rStyle w:val="FunctionTok"/>
        </w:rPr>
        <w:t xml:space="preserve">baselines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BaselineExperimentPolicy</w:t>
      </w:r>
      <w:r>
        <w:br/>
      </w:r>
      <w:r>
        <w:rPr>
          <w:rStyle w:val="FunctionTok"/>
        </w:rPr>
        <w:t xml:space="preserve">annualization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AnnualizationPolicy</w:t>
      </w:r>
      <w:r>
        <w:br/>
      </w:r>
      <w:r>
        <w:rPr>
          <w:rStyle w:val="FunctionTok"/>
        </w:rPr>
        <w:t xml:space="preserve">primary_decision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ResearchDecisionPolicy</w:t>
      </w:r>
      <w:r>
        <w:br/>
      </w:r>
      <w:r>
        <w:rPr>
          <w:rStyle w:val="FunctionTok"/>
        </w:rPr>
        <w:t xml:space="preserve">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SensitivityPolicy</w:t>
      </w:r>
      <w:r>
        <w:br/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ExperimentProvenance</w:t>
      </w:r>
    </w:p>
    <w:bookmarkStart w:id="30" w:name="Xe2c38ea4c44f919ddf8c27a81fa46bee6f7eb05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LoadState</w:t>
      </w:r>
    </w:p>
    <w:p>
      <w:pPr>
        <w:pStyle w:val="SourceCode"/>
      </w:pPr>
      <w:r>
        <w:rPr>
          <w:rStyle w:val="FunctionTok"/>
        </w:rPr>
        <w:t xml:space="preserve">load_state_id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hours_per_year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FunctionTok"/>
        </w:rPr>
        <w:t xml:space="preserve">consumer_demand_multiplier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FunctionTok"/>
        </w:rPr>
        <w:t xml:space="preserve">required_for_feasibility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</w:t>
      </w:r>
      <w:r>
        <w:br/>
      </w:r>
      <w:r>
        <w:rPr>
          <w:rStyle w:val="FunctionTok"/>
        </w:rPr>
        <w:t xml:space="preserve">assumption_status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synthetic_assumption | approved_source</w:t>
      </w:r>
      <w:r>
        <w:br/>
      </w:r>
      <w:r>
        <w:rPr>
          <w:rStyle w:val="FunctionTok"/>
        </w:rPr>
        <w:t xml:space="preserve">source_reference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7"/>
        </w:numPr>
      </w:pPr>
      <w:r>
        <w:t xml:space="preserve">IDs unique;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hours_per_year &gt; 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consumer_demand_multiplier &gt; 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sum of all</w:t>
      </w:r>
      <w:r>
        <w:t xml:space="preserve"> </w:t>
      </w:r>
      <w:r>
        <w:rPr>
          <w:rStyle w:val="VerbatimChar"/>
        </w:rPr>
        <w:t xml:space="preserve">hours_per_year</w:t>
      </w:r>
      <w:r>
        <w:t xml:space="preserve"> </w:t>
      </w:r>
      <w:r>
        <w:t xml:space="preserve">must equal the annualization horizon declared by policy;</w:t>
      </w:r>
    </w:p>
    <w:p>
      <w:pPr>
        <w:pStyle w:val="Compact"/>
        <w:numPr>
          <w:ilvl w:val="0"/>
          <w:numId w:val="1007"/>
        </w:numPr>
      </w:pPr>
      <w:r>
        <w:t xml:space="preserve">no hidden default demand multipliers;</w:t>
      </w:r>
    </w:p>
    <w:p>
      <w:pPr>
        <w:pStyle w:val="Compact"/>
        <w:numPr>
          <w:ilvl w:val="0"/>
          <w:numId w:val="1007"/>
        </w:numPr>
      </w:pPr>
      <w:r>
        <w:t xml:space="preserve">values must be config-backed and provenance-labelled.</w:t>
      </w:r>
    </w:p>
    <w:p>
      <w:pPr>
        <w:pStyle w:val="FirstParagraph"/>
      </w:pPr>
      <w:r>
        <w:t xml:space="preserve">The implementation shall support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representative states for the final experiment, but the contract may allow N &gt;= 1.</w:t>
      </w:r>
    </w:p>
    <w:p>
      <w:pPr>
        <w:pStyle w:val="BodyText"/>
      </w:pPr>
      <w:r>
        <w:t xml:space="preserve">The scientific publication/demo values are assumptions, not code constants. If Tanja/Jan have not approved exact values, commit a clearly labelled synthetic demonstration fixture and keep real-study values gated.</w:t>
      </w:r>
    </w:p>
    <w:bookmarkEnd w:id="30"/>
    <w:bookmarkStart w:id="31" w:name="X22fe0434a27b949a87a45e373cced5347133fb4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BaselineExperimentPolicy</w:t>
      </w:r>
    </w:p>
    <w:p>
      <w:pPr>
        <w:pStyle w:val="SourceCode"/>
      </w:pPr>
      <w:r>
        <w:rPr>
          <w:rStyle w:val="FunctionTok"/>
        </w:rPr>
        <w:t xml:space="preserve">network_only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reference_site_id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reference_resource_scenario_id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eligible_attachment_ids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list[string] | null</w:t>
      </w:r>
      <w:r>
        <w:br/>
      </w:r>
      <w:r>
        <w:br/>
      </w:r>
      <w:r>
        <w:rPr>
          <w:rStyle w:val="FunctionTok"/>
        </w:rPr>
        <w:t xml:space="preserve">geothermal_only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resource_scenario_ids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list[string] |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indicative_geothermal_lcoh_at_hx</w:t>
      </w:r>
      <w:r>
        <w:br/>
      </w:r>
      <w:r>
        <w:br/>
      </w:r>
      <w:r>
        <w:rPr>
          <w:rStyle w:val="FunctionTok"/>
        </w:rPr>
        <w:t xml:space="preserve">integrated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1"/>
    <w:bookmarkStart w:id="32" w:name="X966b525b1aa37939535efed1c6cd1796079e1a3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AnnualizationPolicy</w:t>
      </w:r>
    </w:p>
    <w:p>
      <w:pPr>
        <w:pStyle w:val="SourceCode"/>
      </w:pPr>
      <w:r>
        <w:rPr>
          <w:rStyle w:val="FunctionTok"/>
        </w:rPr>
        <w:t xml:space="preserve">horizon_hours_per_year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8760.0</w:t>
      </w:r>
      <w:r>
        <w:br/>
      </w:r>
      <w:r>
        <w:rPr>
          <w:rStyle w:val="FunctionTok"/>
        </w:rPr>
        <w:t xml:space="preserve">useful_heat_boundary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consumer_delivery</w:t>
      </w:r>
      <w:r>
        <w:br/>
      </w:r>
      <w:r>
        <w:rPr>
          <w:rStyle w:val="FunctionTok"/>
        </w:rPr>
        <w:t xml:space="preserve">include_dh_pumping_electricity_in_opex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include_geothermal_pumping_electricity_in_opex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include_auxiliary_heat_in_opex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capex_annualized_once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Do not subtract pumping electricity from the thermal-energy denominator.</w:t>
      </w:r>
    </w:p>
    <w:bookmarkEnd w:id="32"/>
    <w:bookmarkStart w:id="33" w:name="X69cb6bb56cec6415585e7208621d82eb2948611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ResearchDecisionPolicy</w:t>
      </w:r>
    </w:p>
    <w:p>
      <w:pPr>
        <w:pStyle w:val="FirstParagraph"/>
      </w:pPr>
      <w:r>
        <w:t xml:space="preserve">Primary research decision:</w:t>
      </w:r>
    </w:p>
    <w:p>
      <w:pPr>
        <w:pStyle w:val="SourceCode"/>
      </w:pP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primary_objective_ranking</w:t>
      </w:r>
      <w:r>
        <w:br/>
      </w:r>
      <w:r>
        <w:rPr>
          <w:rStyle w:val="FunctionTok"/>
        </w:rPr>
        <w:t xml:space="preserve">primary_objective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annualized_system_lcoh_eur_per_mwh</w:t>
      </w:r>
      <w:r>
        <w:br/>
      </w:r>
      <w:r>
        <w:rPr>
          <w:rStyle w:val="FunctionTok"/>
        </w:rPr>
        <w:t xml:space="preserve">allow_shared_rank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tie_breakers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The Pareto shortlist shall still be calculated and published as a secondary diagnostic.</w:t>
      </w:r>
    </w:p>
    <w:p>
      <w:pPr>
        <w:pStyle w:val="BodyText"/>
      </w:pPr>
      <w:r>
        <w:t xml:space="preserve">Do not add weights.</w:t>
      </w:r>
    </w:p>
    <w:bookmarkEnd w:id="33"/>
    <w:bookmarkStart w:id="34" w:name="X19a7b90f06e32c301c5f914d3d528e6a48ab3d9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6.5 SensitivityPolicy</w:t>
      </w:r>
    </w:p>
    <w:p>
      <w:pPr>
        <w:pStyle w:val="FirstParagraph"/>
      </w:pPr>
      <w:r>
        <w:t xml:space="preserve">Minimum accepted policy shall support:</w:t>
      </w:r>
    </w:p>
    <w:p>
      <w:pPr>
        <w:pStyle w:val="Compact"/>
        <w:numPr>
          <w:ilvl w:val="0"/>
          <w:numId w:val="1008"/>
        </w:numPr>
      </w:pPr>
      <w:r>
        <w:t xml:space="preserve">connection-cost sensitivity, e.g. multiplicative factors around the base</w:t>
      </w:r>
      <w:r>
        <w:t xml:space="preserve"> </w:t>
      </w:r>
      <w:r>
        <w:rPr>
          <w:rStyle w:val="VerbatimChar"/>
        </w:rPr>
        <w:t xml:space="preserve">capex_eur_per_paired_trench_m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geothermal deliverable-heat derating sensitivity, implemented as a clearly labelled post-validation availability/derating factor at the geothermal-to-HX availability boundary, not as a fabricated new PyDoublet result.</w:t>
      </w:r>
    </w:p>
    <w:p>
      <w:pPr>
        <w:pStyle w:val="FirstParagraph"/>
      </w:pPr>
      <w:r>
        <w:t xml:space="preserve">Suggested contract:</w:t>
      </w:r>
    </w:p>
    <w:p>
      <w:pPr>
        <w:pStyle w:val="SourceCode"/>
      </w:pP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sensitivity_case_id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connection_capex_multiplier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geothermal_deliverable_heat_derating_fraction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sensitivity_case_id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connection_capex_multiplier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geothermal_deliverable_heat_derating_fraction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sensitivity_case_id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connection_capex_multiplier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geothermal_deliverable_heat_derating_fraction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sensitivity_case_id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geo_derate_10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connection_capex_multiplier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geothermal_deliverable_heat_derating_fraction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</w:p>
    <w:p>
      <w:pPr>
        <w:pStyle w:val="FirstParagraph"/>
      </w:pPr>
      <w:r>
        <w:t xml:space="preserve">These are synthetic sensitivity cases.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probabilities and must never be described as exploration risk.</w:t>
      </w:r>
    </w:p>
    <w:p>
      <w:pPr>
        <w:pStyle w:val="BodyText"/>
      </w:pPr>
      <w:r>
        <w:t xml:space="preserve">If different numeric factors are approved, use the approved values; do not bury them in code.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f79c0cfea2b27e69f5fd8f8372255465c2d6ff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Three representative load-state evaluation</w:t>
      </w:r>
    </w:p>
    <w:bookmarkStart w:id="36" w:name="Xd072dfcd52d7a79520b0a2c652c032f0905c4d7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Scientific intent</w:t>
      </w:r>
    </w:p>
    <w:p>
      <w:pPr>
        <w:pStyle w:val="FirstParagraph"/>
      </w:pPr>
      <w:r>
        <w:t xml:space="preserve">The current single steady-state result multiplied by one annual operating-hour value is acceptable for an indicative prototype but insufficient for the final research experiment.</w:t>
      </w:r>
    </w:p>
    <w:p>
      <w:pPr>
        <w:pStyle w:val="BodyText"/>
      </w:pPr>
      <w:r>
        <w:t xml:space="preserve">The research layer shall evaluate each integrated alternative under multiple representative steady states while keeping PyDoublet at Jan’s current steady/lifetime-average boundary.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transient simulation</w:t>
      </w:r>
      <w:r>
        <w:t xml:space="preserve">.</w:t>
      </w:r>
    </w:p>
    <w:bookmarkEnd w:id="36"/>
    <w:bookmarkStart w:id="37" w:name="Xa2cd5957c49c5c0854108a212550188599c1daa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Demand transformation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LoadState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start from the same fixed network topology;</w:t>
      </w:r>
    </w:p>
    <w:p>
      <w:pPr>
        <w:pStyle w:val="Compact"/>
        <w:numPr>
          <w:ilvl w:val="0"/>
          <w:numId w:val="1009"/>
        </w:numPr>
      </w:pPr>
      <w:r>
        <w:t xml:space="preserve">scale each consumer heat demand by</w:t>
      </w:r>
      <w:r>
        <w:t xml:space="preserve"> </w:t>
      </w:r>
      <w:r>
        <w:rPr>
          <w:rStyle w:val="VerbatimChar"/>
        </w:rPr>
        <w:t xml:space="preserve">consumer_demand_multiplier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keep topology, geometry and base pipe data fixed;</w:t>
      </w:r>
    </w:p>
    <w:p>
      <w:pPr>
        <w:pStyle w:val="Compact"/>
        <w:numPr>
          <w:ilvl w:val="0"/>
          <w:numId w:val="1009"/>
        </w:numPr>
      </w:pPr>
      <w:r>
        <w:t xml:space="preserve">preserve the alternative’s site, route, design and operating policy;</w:t>
      </w:r>
    </w:p>
    <w:p>
      <w:pPr>
        <w:pStyle w:val="Compact"/>
        <w:numPr>
          <w:ilvl w:val="0"/>
          <w:numId w:val="1009"/>
        </w:numPr>
      </w:pPr>
      <w:r>
        <w:t xml:space="preserve">use the same validated geothermal resource scenario, subject only to an explicitly configured sensitivity derating when running sensitivity cases;</w:t>
      </w:r>
    </w:p>
    <w:p>
      <w:pPr>
        <w:pStyle w:val="Compact"/>
        <w:numPr>
          <w:ilvl w:val="0"/>
          <w:numId w:val="1009"/>
        </w:numPr>
      </w:pPr>
      <w:r>
        <w:t xml:space="preserve">evaluate through the existing HX/network pipeline.</w:t>
      </w:r>
    </w:p>
    <w:p>
      <w:pPr>
        <w:pStyle w:val="FirstParagraph"/>
      </w:pPr>
      <w:r>
        <w:t xml:space="preserve">Do not mutate shared network objects across alternatives or states. Build fresh deterministic network evaluation state as the existing v2 workflow does.</w:t>
      </w:r>
    </w:p>
    <w:bookmarkEnd w:id="37"/>
    <w:bookmarkStart w:id="38" w:name="X0493212ed05eefe42e7183e25961001ea1d5453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Curtailment and shortfall</w:t>
      </w:r>
    </w:p>
    <w:p>
      <w:pPr>
        <w:pStyle w:val="FirstParagraph"/>
      </w:pPr>
      <w:r>
        <w:t xml:space="preserve">Before implementation, audit how the current evaluator behaves when geothermal available heat exceeds reduced network demand.</w:t>
      </w:r>
    </w:p>
    <w:p>
      <w:pPr>
        <w:pStyle w:val="BodyText"/>
      </w:pPr>
      <w:r>
        <w:t xml:space="preserve">Required behavior:</w:t>
      </w:r>
    </w:p>
    <w:p>
      <w:pPr>
        <w:pStyle w:val="Compact"/>
        <w:numPr>
          <w:ilvl w:val="0"/>
          <w:numId w:val="1010"/>
        </w:numPr>
      </w:pPr>
      <w:r>
        <w:t xml:space="preserve">geothermal supply may be curtailed to the useful demand/operating-policy requirement;</w:t>
      </w:r>
    </w:p>
    <w:p>
      <w:pPr>
        <w:pStyle w:val="Compact"/>
        <w:numPr>
          <w:ilvl w:val="0"/>
          <w:numId w:val="1010"/>
        </w:numPr>
      </w:pPr>
      <w:r>
        <w:t xml:space="preserve">excess source availability must not be forced into the network merely because the PyDoublet result is fixed;</w:t>
      </w:r>
    </w:p>
    <w:p>
      <w:pPr>
        <w:pStyle w:val="Compact"/>
        <w:numPr>
          <w:ilvl w:val="0"/>
          <w:numId w:val="1010"/>
        </w:numPr>
      </w:pPr>
      <w:r>
        <w:t xml:space="preserve">if the configured operating policy permits auxiliary heat, capacity shortfall may be met by auxiliary heat and recorded explicitly;</w:t>
      </w:r>
    </w:p>
    <w:p>
      <w:pPr>
        <w:pStyle w:val="Compact"/>
        <w:numPr>
          <w:ilvl w:val="0"/>
          <w:numId w:val="1010"/>
        </w:numPr>
      </w:pPr>
      <w:r>
        <w:t xml:space="preserve">an HX temperature infeasibility is not silently repaired by auxiliary heat unless the operating policy explicitly models such temperature boosting;</w:t>
      </w:r>
    </w:p>
    <w:p>
      <w:pPr>
        <w:pStyle w:val="Compact"/>
        <w:numPr>
          <w:ilvl w:val="0"/>
          <w:numId w:val="1010"/>
        </w:numPr>
      </w:pPr>
      <w:r>
        <w:t xml:space="preserve">no negative shortfall, negative auxiliary heat or over-delivery may be hidden by clipping without an audit record.</w:t>
      </w:r>
    </w:p>
    <w:p>
      <w:pPr>
        <w:pStyle w:val="FirstParagraph"/>
      </w:pPr>
      <w:r>
        <w:t xml:space="preserve">If the current code cannot represent curtailment cleanly, add one explicit deterministic dispatch helper and tests. Do not introduce an optimizer.</w:t>
      </w:r>
    </w:p>
    <w:bookmarkEnd w:id="38"/>
    <w:bookmarkStart w:id="39" w:name="X459e974b12683481889d167f85c2ada11936a31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Feasibility across load states</w:t>
      </w:r>
    </w:p>
    <w:p>
      <w:pPr>
        <w:pStyle w:val="FirstParagraph"/>
      </w:pPr>
      <w:r>
        <w:t xml:space="preserve">An integrated alternative is research-feasible only if every load state marked</w:t>
      </w:r>
      <w:r>
        <w:t xml:space="preserve"> </w:t>
      </w:r>
      <w:r>
        <w:rPr>
          <w:rStyle w:val="VerbatimChar"/>
        </w:rPr>
        <w:t xml:space="preserve">required_for_feasibility=true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parses and couples successfully;</w:t>
      </w:r>
    </w:p>
    <w:p>
      <w:pPr>
        <w:pStyle w:val="Compact"/>
        <w:numPr>
          <w:ilvl w:val="0"/>
          <w:numId w:val="1011"/>
        </w:numPr>
      </w:pPr>
      <w:r>
        <w:t xml:space="preserve">converges in pandapipes;</w:t>
      </w:r>
    </w:p>
    <w:p>
      <w:pPr>
        <w:pStyle w:val="Compact"/>
        <w:numPr>
          <w:ilvl w:val="0"/>
          <w:numId w:val="1011"/>
        </w:numPr>
      </w:pPr>
      <w:r>
        <w:t xml:space="preserve">satisfies all configured hard technical constraints.</w:t>
      </w:r>
    </w:p>
    <w:p>
      <w:pPr>
        <w:pStyle w:val="FirstParagraph"/>
      </w:pPr>
      <w:r>
        <w:t xml:space="preserve">If one required state fails, the annual alternative is infeasible and excluded from the primary LCOH ranking.</w:t>
      </w:r>
    </w:p>
    <w:p>
      <w:pPr>
        <w:pStyle w:val="BodyText"/>
      </w:pPr>
      <w:r>
        <w:t xml:space="preserve">Store exact state-level failure codes.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b5e141fa3a8d73393f2cb88613f251588cd1f90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Annualized useful heat and cost</w:t>
      </w:r>
    </w:p>
    <w:bookmarkStart w:id="41" w:name="Xcad5ab7c1487ee6dbe95ac3671590753dc65532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Useful heat denominator</w:t>
      </w:r>
    </w:p>
    <w:p>
      <w:pPr>
        <w:pStyle w:val="FirstParagraph"/>
      </w:pPr>
      <w:r>
        <w:t xml:space="preserve">Use thermal heat delivered to consumers:</w:t>
      </w:r>
    </w:p>
    <w:p>
      <w:pPr>
        <w:pStyle w:val="BodyText"/>
      </w:pPr>
      <w:r>
        <w:rPr>
          <w:rStyle w:val="VerbatimChar"/>
        </w:rPr>
        <w:t xml:space="preserve">E_useful = Σ_r(Q_delivered,r × h_r)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load state and</w:t>
      </w:r>
      <w:r>
        <w:t xml:space="preserve"> </w:t>
      </w:r>
      <w:r>
        <w:rPr>
          <w:rStyle w:val="VerbatimChar"/>
        </w:rPr>
        <w:t xml:space="preserve">h_r</w:t>
      </w:r>
      <w:r>
        <w:t xml:space="preserve"> </w:t>
      </w:r>
      <w:r>
        <w:t xml:space="preserve">is state hours/year.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raw reservoir heat, raw PyDoublet thermal power or heat before network losses as the system-LCOH denominator.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subtract electrical pumping energy from</w:t>
      </w:r>
      <w:r>
        <w:t xml:space="preserve"> </w:t>
      </w:r>
      <w:r>
        <w:rPr>
          <w:rStyle w:val="VerbatimChar"/>
        </w:rPr>
        <w:t xml:space="preserve">E_useful</w:t>
      </w:r>
      <w:r>
        <w:t xml:space="preserve">.</w:t>
      </w:r>
    </w:p>
    <w:bookmarkEnd w:id="41"/>
    <w:bookmarkStart w:id="42" w:name="Xd5ead8a9e8d7a168c50b2f1b1af353cc8f661f7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Pumping and auxiliary-energy OPEX</w:t>
      </w:r>
    </w:p>
    <w:p>
      <w:pPr>
        <w:pStyle w:val="FirstParagraph"/>
      </w:pPr>
      <w:r>
        <w:t xml:space="preserve">Aggregate electricity/auxiliary terms by state:</w:t>
      </w:r>
    </w:p>
    <w:p>
      <w:pPr>
        <w:pStyle w:val="Compact"/>
        <w:numPr>
          <w:ilvl w:val="0"/>
          <w:numId w:val="1012"/>
        </w:numPr>
      </w:pPr>
      <w:r>
        <w:t xml:space="preserve">DH pumping:</w:t>
      </w:r>
      <w:r>
        <w:t xml:space="preserve"> </w:t>
      </w:r>
      <w:r>
        <w:rPr>
          <w:rStyle w:val="VerbatimChar"/>
        </w:rPr>
        <w:t xml:space="preserve">Σ_r(P_DH_pump,r × h_r)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geothermal/doublet pumping: use the physically appropriate existing scenario pump-power quantity and dispatched operating hours; do not multiply the same annual energy three times;</w:t>
      </w:r>
    </w:p>
    <w:p>
      <w:pPr>
        <w:pStyle w:val="Compact"/>
        <w:numPr>
          <w:ilvl w:val="0"/>
          <w:numId w:val="1012"/>
        </w:numPr>
      </w:pPr>
      <w:r>
        <w:t xml:space="preserve">auxiliary heat:</w:t>
      </w:r>
      <w:r>
        <w:t xml:space="preserve"> </w:t>
      </w:r>
      <w:r>
        <w:rPr>
          <w:rStyle w:val="VerbatimChar"/>
        </w:rPr>
        <w:t xml:space="preserve">Σ_r(Q_aux,r × h_r)</w:t>
      </w:r>
      <w:r>
        <w:t xml:space="preserve">.</w:t>
      </w:r>
    </w:p>
    <w:p>
      <w:pPr>
        <w:pStyle w:val="FirstParagraph"/>
      </w:pPr>
      <w:r>
        <w:t xml:space="preserve">Apply configured energy prices once.</w:t>
      </w:r>
    </w:p>
    <w:bookmarkEnd w:id="42"/>
    <w:bookmarkStart w:id="43" w:name="Xc5d48ca734a6b25895cbd8ae650152e65ac70c4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CAPEX</w:t>
      </w:r>
    </w:p>
    <w:p>
      <w:pPr>
        <w:pStyle w:val="FirstParagraph"/>
      </w:pPr>
      <w:r>
        <w:t xml:space="preserve">Annualize CAPEX once per alternative using the existing annuity logic:</w:t>
      </w:r>
    </w:p>
    <w:p>
      <w:pPr>
        <w:pStyle w:val="Compact"/>
        <w:numPr>
          <w:ilvl w:val="0"/>
          <w:numId w:val="1013"/>
        </w:numPr>
      </w:pPr>
      <w:r>
        <w:t xml:space="preserve">declared geothermal/doublet CAPEX;</w:t>
      </w:r>
    </w:p>
    <w:p>
      <w:pPr>
        <w:pStyle w:val="Compact"/>
        <w:numPr>
          <w:ilvl w:val="0"/>
          <w:numId w:val="1013"/>
        </w:numPr>
      </w:pPr>
      <w:r>
        <w:t xml:space="preserve">HX/plant CAPEX where already part of the declared boundary;</w:t>
      </w:r>
    </w:p>
    <w:p>
      <w:pPr>
        <w:pStyle w:val="Compact"/>
        <w:numPr>
          <w:ilvl w:val="0"/>
          <w:numId w:val="1013"/>
        </w:numPr>
      </w:pPr>
      <w:r>
        <w:t xml:space="preserve">site-to-network route/connection CAPEX;</w:t>
      </w:r>
    </w:p>
    <w:p>
      <w:pPr>
        <w:pStyle w:val="Compact"/>
        <w:numPr>
          <w:ilvl w:val="0"/>
          <w:numId w:val="1013"/>
        </w:numPr>
      </w:pPr>
      <w:r>
        <w:t xml:space="preserve">explicitly declared network modification CAPEX.</w:t>
      </w:r>
    </w:p>
    <w:p>
      <w:pPr>
        <w:pStyle w:val="FirstParagraph"/>
      </w:pPr>
      <w:r>
        <w:t xml:space="preserve">Do not annualize CAPEX separately for each load state.</w:t>
      </w:r>
    </w:p>
    <w:bookmarkEnd w:id="43"/>
    <w:bookmarkStart w:id="44" w:name="Xef0baefb58b22c4a4a964809fb12d55dea163d9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8.4 Final annualized system LCOH</w:t>
      </w:r>
    </w:p>
    <w:p>
      <w:pPr>
        <w:pStyle w:val="FirstParagraph"/>
      </w:pPr>
      <w:r>
        <w:rPr>
          <w:rStyle w:val="VerbatimChar"/>
        </w:rPr>
        <w:t xml:space="preserve">annualized_system_lcoh_eur_per_mwh = annualized_total_system_cost_eur_per_a / annual_useful_heat_mwh_per_a</w:t>
      </w:r>
    </w:p>
    <w:p>
      <w:pPr>
        <w:pStyle w:val="BodyText"/>
      </w:pPr>
      <w:r>
        <w:t xml:space="preserve">The result remains</w:t>
      </w:r>
      <w:r>
        <w:t xml:space="preserve"> </w:t>
      </w:r>
      <w:r>
        <w:rPr>
          <w:b/>
          <w:bCs/>
        </w:rPr>
        <w:t xml:space="preserve">indicative/synthetic</w:t>
      </w:r>
      <w:r>
        <w:t xml:space="preserve"> </w:t>
      </w:r>
      <w:r>
        <w:t xml:space="preserve">because the cost assumptions and geothermal scenarios are synthetic.</w:t>
      </w:r>
    </w:p>
    <w:bookmarkEnd w:id="44"/>
    <w:bookmarkStart w:id="45" w:name="X298fdf1cbbdb5bdba39e7da59b07637d9164a56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8.5 Cost breakdown</w:t>
      </w:r>
    </w:p>
    <w:p>
      <w:pPr>
        <w:pStyle w:val="FirstParagraph"/>
      </w:pPr>
      <w:r>
        <w:t xml:space="preserve">Every feasible annualized alternative shall expose at least:</w:t>
      </w:r>
    </w:p>
    <w:p>
      <w:pPr>
        <w:pStyle w:val="Compact"/>
        <w:numPr>
          <w:ilvl w:val="0"/>
          <w:numId w:val="1014"/>
        </w:numPr>
      </w:pPr>
      <w:r>
        <w:t xml:space="preserve">annualized geothermal CAPEX component;</w:t>
      </w:r>
    </w:p>
    <w:p>
      <w:pPr>
        <w:pStyle w:val="Compact"/>
        <w:numPr>
          <w:ilvl w:val="0"/>
          <w:numId w:val="1014"/>
        </w:numPr>
      </w:pPr>
      <w:r>
        <w:t xml:space="preserve">annualized connection CAPEX component;</w:t>
      </w:r>
    </w:p>
    <w:p>
      <w:pPr>
        <w:pStyle w:val="Compact"/>
        <w:numPr>
          <w:ilvl w:val="0"/>
          <w:numId w:val="1014"/>
        </w:numPr>
      </w:pPr>
      <w:r>
        <w:t xml:space="preserve">other annualized CAPEX component if present;</w:t>
      </w:r>
    </w:p>
    <w:p>
      <w:pPr>
        <w:pStyle w:val="Compact"/>
        <w:numPr>
          <w:ilvl w:val="0"/>
          <w:numId w:val="1014"/>
        </w:numPr>
      </w:pPr>
      <w:r>
        <w:t xml:space="preserve">geothermal pumping electricity MWh/a and EUR/a;</w:t>
      </w:r>
    </w:p>
    <w:p>
      <w:pPr>
        <w:pStyle w:val="Compact"/>
        <w:numPr>
          <w:ilvl w:val="0"/>
          <w:numId w:val="1014"/>
        </w:numPr>
      </w:pPr>
      <w:r>
        <w:t xml:space="preserve">DH pumping electricity MWh/a and EUR/a;</w:t>
      </w:r>
    </w:p>
    <w:p>
      <w:pPr>
        <w:pStyle w:val="Compact"/>
        <w:numPr>
          <w:ilvl w:val="0"/>
          <w:numId w:val="1014"/>
        </w:numPr>
      </w:pPr>
      <w:r>
        <w:t xml:space="preserve">auxiliary heat MWh/a and EUR/a;</w:t>
      </w:r>
    </w:p>
    <w:p>
      <w:pPr>
        <w:pStyle w:val="Compact"/>
        <w:numPr>
          <w:ilvl w:val="0"/>
          <w:numId w:val="1014"/>
        </w:numPr>
      </w:pPr>
      <w:r>
        <w:t xml:space="preserve">fixed O&amp;M EUR/a if present;</w:t>
      </w:r>
    </w:p>
    <w:p>
      <w:pPr>
        <w:pStyle w:val="Compact"/>
        <w:numPr>
          <w:ilvl w:val="0"/>
          <w:numId w:val="1014"/>
        </w:numPr>
      </w:pPr>
      <w:r>
        <w:t xml:space="preserve">annual useful heat MWh/a;</w:t>
      </w:r>
    </w:p>
    <w:p>
      <w:pPr>
        <w:pStyle w:val="Compact"/>
        <w:numPr>
          <w:ilvl w:val="0"/>
          <w:numId w:val="1014"/>
        </w:numPr>
      </w:pPr>
      <w:r>
        <w:t xml:space="preserve">annual geothermal heat delivered MWh/a;</w:t>
      </w:r>
    </w:p>
    <w:p>
      <w:pPr>
        <w:pStyle w:val="Compact"/>
        <w:numPr>
          <w:ilvl w:val="0"/>
          <w:numId w:val="1014"/>
        </w:numPr>
      </w:pPr>
      <w:r>
        <w:t xml:space="preserve">geothermal coverage fraction;</w:t>
      </w:r>
    </w:p>
    <w:p>
      <w:pPr>
        <w:pStyle w:val="Compact"/>
        <w:numPr>
          <w:ilvl w:val="0"/>
          <w:numId w:val="1014"/>
        </w:numPr>
      </w:pPr>
      <w:r>
        <w:t xml:space="preserve">annualized system LCOH EUR/MWh.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588c45b1a1ca2c67c915aa540888ece51642d36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Primary LCOH ranking and secondary Pareto analysis</w:t>
      </w:r>
    </w:p>
    <w:bookmarkStart w:id="47" w:name="X3b1cb5cabfb93c443c820c0503668f1ec513b22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Reuse existing decision engine</w:t>
      </w:r>
    </w:p>
    <w:p>
      <w:pPr>
        <w:pStyle w:val="FirstParagraph"/>
      </w:pPr>
      <w:r>
        <w:rPr>
          <w:rStyle w:val="VerbatimChar"/>
        </w:rPr>
        <w:t xml:space="preserve">decision/joint_policy.py</w:t>
      </w:r>
      <w:r>
        <w:t xml:space="preserve"> </w:t>
      </w:r>
      <w:r>
        <w:t xml:space="preserve">already supports</w:t>
      </w:r>
      <w:r>
        <w:t xml:space="preserve"> </w:t>
      </w:r>
      <w:r>
        <w:rPr>
          <w:rStyle w:val="VerbatimChar"/>
        </w:rPr>
        <w:t xml:space="preserve">primary_objective_ranking</w:t>
      </w:r>
      <w:r>
        <w:t xml:space="preserve">. Reuse it; do not create a second ranking implementation unless the annualized field requires a small extractor extension.</w:t>
      </w:r>
    </w:p>
    <w:bookmarkEnd w:id="47"/>
    <w:bookmarkStart w:id="48" w:name="X4d9b998d7974e2588bbe02bfa4a1b9946b9fb1d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Ranking semantics</w:t>
      </w:r>
    </w:p>
    <w:p>
      <w:pPr>
        <w:pStyle w:val="FirstParagraph"/>
      </w:pPr>
      <w:r>
        <w:t xml:space="preserve">For feasible integrated alternatives:</w:t>
      </w:r>
    </w:p>
    <w:p>
      <w:pPr>
        <w:pStyle w:val="Compact"/>
        <w:numPr>
          <w:ilvl w:val="0"/>
          <w:numId w:val="1015"/>
        </w:numPr>
      </w:pPr>
      <w:r>
        <w:t xml:space="preserve">primary objective = minimize</w:t>
      </w:r>
      <w:r>
        <w:t xml:space="preserve"> </w:t>
      </w:r>
      <w:r>
        <w:rPr>
          <w:rStyle w:val="VerbatimChar"/>
        </w:rPr>
        <w:t xml:space="preserve">annualized_system_lcoh_eur_per_mwh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materiality thresholds must be declared in config;</w:t>
      </w:r>
    </w:p>
    <w:p>
      <w:pPr>
        <w:pStyle w:val="Compact"/>
        <w:numPr>
          <w:ilvl w:val="0"/>
          <w:numId w:val="1015"/>
        </w:numPr>
      </w:pPr>
      <w:r>
        <w:t xml:space="preserve">alternatives within materiality remain in the same rank group;</w:t>
      </w:r>
    </w:p>
    <w:p>
      <w:pPr>
        <w:pStyle w:val="Compact"/>
        <w:numPr>
          <w:ilvl w:val="0"/>
          <w:numId w:val="1015"/>
        </w:numPr>
      </w:pPr>
      <w:r>
        <w:t xml:space="preserve">no hidden tie-breaker;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alternative_id</w:t>
      </w:r>
      <w:r>
        <w:t xml:space="preserve"> </w:t>
      </w:r>
      <w:r>
        <w:t xml:space="preserve">may order display only, never science;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preferred_alternative_id</w:t>
      </w:r>
      <w:r>
        <w:t xml:space="preserve"> </w:t>
      </w:r>
      <w:r>
        <w:t xml:space="preserve">exists only when rank 1 contains exactly one alternative.</w:t>
      </w:r>
    </w:p>
    <w:bookmarkEnd w:id="48"/>
    <w:bookmarkStart w:id="49" w:name="X3d5bc32c78a010e6fc2bf049dd389b6621888a5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9.3 Pareto diagnostic</w:t>
      </w:r>
    </w:p>
    <w:p>
      <w:pPr>
        <w:pStyle w:val="FirstParagraph"/>
      </w:pPr>
      <w:r>
        <w:t xml:space="preserve">Retain the independent Pareto objectives, preferably:</w:t>
      </w:r>
    </w:p>
    <w:p>
      <w:pPr>
        <w:pStyle w:val="Compact"/>
        <w:numPr>
          <w:ilvl w:val="0"/>
          <w:numId w:val="1016"/>
        </w:numPr>
      </w:pPr>
      <w:r>
        <w:t xml:space="preserve">minimize annualized system LCOH;</w:t>
      </w:r>
    </w:p>
    <w:p>
      <w:pPr>
        <w:pStyle w:val="Compact"/>
        <w:numPr>
          <w:ilvl w:val="0"/>
          <w:numId w:val="1016"/>
        </w:numPr>
      </w:pPr>
      <w:r>
        <w:t xml:space="preserve">maximize geothermal coverage fraction;</w:t>
      </w:r>
    </w:p>
    <w:p>
      <w:pPr>
        <w:pStyle w:val="Compact"/>
        <w:numPr>
          <w:ilvl w:val="0"/>
          <w:numId w:val="1016"/>
        </w:numPr>
      </w:pPr>
      <w:r>
        <w:t xml:space="preserve">minimize annual total pumping electricity.</w:t>
      </w:r>
    </w:p>
    <w:p>
      <w:pPr>
        <w:pStyle w:val="FirstParagraph"/>
      </w:pPr>
      <w:r>
        <w:t xml:space="preserve">The report shall distinguish: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primary research ranking</w:t>
      </w:r>
      <w:r>
        <w:t xml:space="preserve"> </w:t>
      </w:r>
      <w:r>
        <w:t xml:space="preserve">from LCOH;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secondary Pareto shortlist</w:t>
      </w:r>
      <w:r>
        <w:t xml:space="preserve"> </w:t>
      </w:r>
      <w:r>
        <w:t xml:space="preserve">from multi-objective diagnostics.</w:t>
      </w:r>
    </w:p>
    <w:p>
      <w:pPr>
        <w:pStyle w:val="FirstParagraph"/>
      </w:pPr>
      <w:r>
        <w:t xml:space="preserve">Do not describe the Pareto set itself as a total ranking.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f173f1204fb4a20c7f4262475aa65e2f7a3b1b2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Geothermal-only baseline</w:t>
      </w:r>
    </w:p>
    <w:bookmarkStart w:id="51" w:name="Xa0281df645e96ca554670763497f2dd62156387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10.1 Purpose</w:t>
      </w:r>
    </w:p>
    <w:p>
      <w:pPr>
        <w:pStyle w:val="FirstParagraph"/>
      </w:pPr>
      <w:r>
        <w:t xml:space="preserve">Answer:</w:t>
      </w:r>
    </w:p>
    <w:p>
      <w:pPr>
        <w:pStyle w:val="BlockText"/>
      </w:pPr>
      <w:r>
        <w:t xml:space="preserve">Which declared geothermal resource scenario looks best before district-heating routing and network thermo-hydraulics are considered?</w:t>
      </w:r>
    </w:p>
    <w:bookmarkEnd w:id="51"/>
    <w:bookmarkStart w:id="52" w:name="X59a90f3592752732e24de8fc0a2c1c1427e7a2a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10.2 Unit of comparison</w:t>
      </w:r>
    </w:p>
    <w:p>
      <w:pPr>
        <w:pStyle w:val="FirstParagraph"/>
      </w:pPr>
      <w:r>
        <w:t xml:space="preserve">Rank</w:t>
      </w:r>
      <w:r>
        <w:t xml:space="preserve"> </w:t>
      </w:r>
      <w:r>
        <w:rPr>
          <w:b/>
          <w:bCs/>
        </w:rPr>
        <w:t xml:space="preserve">resource scenarios</w:t>
      </w:r>
      <w:r>
        <w:t xml:space="preserve">, each carrying its linked site. Do not silently collapse multiple scenarios at one site into one best-site value.</w:t>
      </w:r>
    </w:p>
    <w:bookmarkEnd w:id="52"/>
    <w:bookmarkStart w:id="53" w:name="Xbcf0f95a145371731a4d0956efb778e6d6064f8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10.3 Metric</w:t>
      </w:r>
    </w:p>
    <w:p>
      <w:pPr>
        <w:pStyle w:val="FirstParagraph"/>
      </w:pPr>
      <w:r>
        <w:t xml:space="preserve">Add a clearly named source-side metric:</w:t>
      </w:r>
    </w:p>
    <w:p>
      <w:pPr>
        <w:pStyle w:val="BodyText"/>
      </w:pPr>
      <w:r>
        <w:rPr>
          <w:rStyle w:val="VerbatimChar"/>
        </w:rPr>
        <w:t xml:space="preserve">indicative_geothermal_lcoh_at_hx_eur_per_mwh</w:t>
      </w:r>
    </w:p>
    <w:p>
      <w:pPr>
        <w:pStyle w:val="BodyText"/>
      </w:pPr>
      <w:r>
        <w:t xml:space="preserve">Boundary:</w:t>
      </w:r>
    </w:p>
    <w:p>
      <w:pPr>
        <w:pStyle w:val="Compact"/>
        <w:numPr>
          <w:ilvl w:val="0"/>
          <w:numId w:val="1018"/>
        </w:numPr>
      </w:pPr>
      <w:r>
        <w:t xml:space="preserve">geothermal/doublet CAPEX and declared source-side plant/HX costs already present in scenario economics;</w:t>
      </w:r>
    </w:p>
    <w:p>
      <w:pPr>
        <w:pStyle w:val="Compact"/>
        <w:numPr>
          <w:ilvl w:val="0"/>
          <w:numId w:val="1018"/>
        </w:numPr>
      </w:pPr>
      <w:r>
        <w:t xml:space="preserve">geothermal pumping OPEX;</w:t>
      </w:r>
    </w:p>
    <w:p>
      <w:pPr>
        <w:pStyle w:val="Compact"/>
        <w:numPr>
          <w:ilvl w:val="0"/>
          <w:numId w:val="1018"/>
        </w:numPr>
      </w:pPr>
      <w:r>
        <w:t xml:space="preserve">no site-to-DH connection CAPEX;</w:t>
      </w:r>
    </w:p>
    <w:p>
      <w:pPr>
        <w:pStyle w:val="Compact"/>
        <w:numPr>
          <w:ilvl w:val="0"/>
          <w:numId w:val="1018"/>
        </w:numPr>
      </w:pPr>
      <w:r>
        <w:t xml:space="preserve">no DH-network pumping;</w:t>
      </w:r>
    </w:p>
    <w:p>
      <w:pPr>
        <w:pStyle w:val="Compact"/>
        <w:numPr>
          <w:ilvl w:val="0"/>
          <w:numId w:val="1018"/>
        </w:numPr>
      </w:pPr>
      <w:r>
        <w:t xml:space="preserve">no DH-network heat loss;</w:t>
      </w:r>
    </w:p>
    <w:p>
      <w:pPr>
        <w:pStyle w:val="Compact"/>
        <w:numPr>
          <w:ilvl w:val="0"/>
          <w:numId w:val="1018"/>
        </w:numPr>
      </w:pPr>
      <w:r>
        <w:t xml:space="preserve">no network-modification CAPEX.</w:t>
      </w:r>
    </w:p>
    <w:p>
      <w:pPr>
        <w:pStyle w:val="FirstParagraph"/>
      </w:pPr>
      <w:r>
        <w:t xml:space="preserve">Energy denominator:</w:t>
      </w:r>
    </w:p>
    <w:p>
      <w:pPr>
        <w:pStyle w:val="Compact"/>
        <w:numPr>
          <w:ilvl w:val="0"/>
          <w:numId w:val="1019"/>
        </w:numPr>
      </w:pPr>
      <w:r>
        <w:t xml:space="preserve">deliverable geothermal heat at the HX boundary under the declared steady/lifetime-average assumption and declared annual operating basis;</w:t>
      </w:r>
    </w:p>
    <w:p>
      <w:pPr>
        <w:pStyle w:val="Compact"/>
        <w:numPr>
          <w:ilvl w:val="0"/>
          <w:numId w:val="1019"/>
        </w:numPr>
      </w:pPr>
      <w:r>
        <w:t xml:space="preserve">if an annual load-state policy is used, source-side useful heat may be capped by the reference heat-demand envelope, but this rule must be explicit and identical for all scenarios.</w:t>
      </w:r>
    </w:p>
    <w:p>
      <w:pPr>
        <w:pStyle w:val="FirstParagraph"/>
      </w:pPr>
      <w:r>
        <w:t xml:space="preserve">Publish component values so the baseline is auditable.</w:t>
      </w:r>
    </w:p>
    <w:bookmarkEnd w:id="53"/>
    <w:bookmarkStart w:id="54" w:name="X6b78f8ed89bbc95bde5d92c50f71b1e32d463c9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10.4 Ties</w:t>
      </w:r>
    </w:p>
    <w:p>
      <w:pPr>
        <w:pStyle w:val="FirstParagraph"/>
      </w:pPr>
      <w:r>
        <w:t xml:space="preserve">Use materiality-aware ranking. If source-side economics are equal within materiality, report a tie.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5ef6af5470c45b89eaf04bbe70618d8b8d536d0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Network-only baseline</w:t>
      </w:r>
    </w:p>
    <w:bookmarkStart w:id="56" w:name="Xd2de6c542e454e8dd73ce7ccfc278ab578705b7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11.1 Purpose</w:t>
      </w:r>
    </w:p>
    <w:p>
      <w:pPr>
        <w:pStyle w:val="FirstParagraph"/>
      </w:pPr>
      <w:r>
        <w:t xml:space="preserve">Answer:</w:t>
      </w:r>
    </w:p>
    <w:p>
      <w:pPr>
        <w:pStyle w:val="BlockText"/>
      </w:pPr>
      <w:r>
        <w:t xml:space="preserve">For one fixed geothermal source at one fixed reference surface site, which eligible DH attachment/route performs best?</w:t>
      </w:r>
    </w:p>
    <w:p>
      <w:pPr>
        <w:pStyle w:val="FirstParagraph"/>
      </w:pPr>
      <w:r>
        <w:t xml:space="preserve">This isolates network integration effects.</w:t>
      </w:r>
    </w:p>
    <w:bookmarkEnd w:id="56"/>
    <w:bookmarkStart w:id="57" w:name="Xdbe9f437ae4d8d8a1424ee81c3eb1240bc3402d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11.2 Fixed source</w:t>
      </w:r>
    </w:p>
    <w:p>
      <w:pPr>
        <w:pStyle w:val="FirstParagraph"/>
      </w:pPr>
      <w:r>
        <w:t xml:space="preserve">The policy must name one existing validated synthetic resource scenario and its site. Its geothermal physical/economic inputs remain identical for every network-only alternative.</w:t>
      </w:r>
    </w:p>
    <w:bookmarkEnd w:id="57"/>
    <w:bookmarkStart w:id="58" w:name="Xb7de11eb72f539a2d376255ab7231fccd779165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11.3 Varying dimensions</w:t>
      </w:r>
    </w:p>
    <w:p>
      <w:pPr>
        <w:pStyle w:val="FirstParagraph"/>
      </w:pPr>
      <w:r>
        <w:t xml:space="preserve">Vary only:</w:t>
      </w:r>
    </w:p>
    <w:p>
      <w:pPr>
        <w:pStyle w:val="Compact"/>
        <w:numPr>
          <w:ilvl w:val="0"/>
          <w:numId w:val="1020"/>
        </w:numPr>
      </w:pPr>
      <w:r>
        <w:t xml:space="preserve">eligible network attachment;</w:t>
      </w:r>
    </w:p>
    <w:p>
      <w:pPr>
        <w:pStyle w:val="Compact"/>
        <w:numPr>
          <w:ilvl w:val="0"/>
          <w:numId w:val="1020"/>
        </w:numPr>
      </w:pPr>
      <w:r>
        <w:t xml:space="preserve">site-specific route to that attachment;</w:t>
      </w:r>
    </w:p>
    <w:p>
      <w:pPr>
        <w:pStyle w:val="Compact"/>
        <w:numPr>
          <w:ilvl w:val="0"/>
          <w:numId w:val="1020"/>
        </w:numPr>
      </w:pPr>
      <w:r>
        <w:t xml:space="preserve">approved connection design if more than one is explicitly included.</w:t>
      </w:r>
    </w:p>
    <w:p>
      <w:pPr>
        <w:pStyle w:val="FirstParagraph"/>
      </w:pPr>
      <w:r>
        <w:t xml:space="preserve">Keep geothermal scenario and site fixed.</w:t>
      </w:r>
    </w:p>
    <w:bookmarkEnd w:id="58"/>
    <w:bookmarkStart w:id="59" w:name="Xffe996e47723f86dafb72a42542db2feb6d3dc8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11.4 Metric</w:t>
      </w:r>
    </w:p>
    <w:p>
      <w:pPr>
        <w:pStyle w:val="FirstParagraph"/>
      </w:pPr>
      <w:r>
        <w:t xml:space="preserve">Use the same annualized system-cost boundary as the integrated analysis. Since geothermal cost is constant, ranking differences arise from route, network thermo-hydraulics, losses, pumping and auxiliary behavior.</w:t>
      </w:r>
    </w:p>
    <w:p>
      <w:pPr>
        <w:pStyle w:val="BodyText"/>
      </w:pPr>
      <w:r>
        <w:t xml:space="preserve">Publish both absolute LCOH and network-incremental cost terms so the isolation is visible.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559e074a91b6d3e128f056b79e54c232f529f10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Integrated baseline</w:t>
      </w:r>
    </w:p>
    <w:p>
      <w:pPr>
        <w:pStyle w:val="FirstParagraph"/>
      </w:pPr>
      <w:r>
        <w:t xml:space="preserve">Run the complete compatible v2 search space under the annualized load-state methodology.</w:t>
      </w:r>
    </w:p>
    <w:p>
      <w:pPr>
        <w:pStyle w:val="BodyText"/>
      </w:pPr>
      <w:r>
        <w:t xml:space="preserve">The integrated result shall include:</w:t>
      </w:r>
    </w:p>
    <w:p>
      <w:pPr>
        <w:pStyle w:val="Compact"/>
        <w:numPr>
          <w:ilvl w:val="0"/>
          <w:numId w:val="1021"/>
        </w:numPr>
      </w:pPr>
      <w:r>
        <w:t xml:space="preserve">every compatible alternative;</w:t>
      </w:r>
    </w:p>
    <w:p>
      <w:pPr>
        <w:pStyle w:val="Compact"/>
        <w:numPr>
          <w:ilvl w:val="0"/>
          <w:numId w:val="1021"/>
        </w:numPr>
      </w:pPr>
      <w:r>
        <w:t xml:space="preserve">state-by-state technical outcomes;</w:t>
      </w:r>
    </w:p>
    <w:p>
      <w:pPr>
        <w:pStyle w:val="Compact"/>
        <w:numPr>
          <w:ilvl w:val="0"/>
          <w:numId w:val="1021"/>
        </w:numPr>
      </w:pPr>
      <w:r>
        <w:t xml:space="preserve">exact rejection codes;</w:t>
      </w:r>
    </w:p>
    <w:p>
      <w:pPr>
        <w:pStyle w:val="Compact"/>
        <w:numPr>
          <w:ilvl w:val="0"/>
          <w:numId w:val="1021"/>
        </w:numPr>
      </w:pPr>
      <w:r>
        <w:t xml:space="preserve">annualized feasible-alternative economics;</w:t>
      </w:r>
    </w:p>
    <w:p>
      <w:pPr>
        <w:pStyle w:val="Compact"/>
        <w:numPr>
          <w:ilvl w:val="0"/>
          <w:numId w:val="1021"/>
        </w:numPr>
      </w:pPr>
      <w:r>
        <w:t xml:space="preserve">materiality-aware LCOH rank groups;</w:t>
      </w:r>
    </w:p>
    <w:p>
      <w:pPr>
        <w:pStyle w:val="Compact"/>
        <w:numPr>
          <w:ilvl w:val="0"/>
          <w:numId w:val="1021"/>
        </w:numPr>
      </w:pPr>
      <w:r>
        <w:t xml:space="preserve">Pareto shortlist;</w:t>
      </w:r>
    </w:p>
    <w:p>
      <w:pPr>
        <w:pStyle w:val="Compact"/>
        <w:numPr>
          <w:ilvl w:val="0"/>
          <w:numId w:val="1021"/>
        </w:numPr>
      </w:pPr>
      <w:r>
        <w:t xml:space="preserve">preferred alternative only if unique.</w:t>
      </w:r>
    </w:p>
    <w:p>
      <w:pPr>
        <w:pStyle w:val="FirstParagraph"/>
      </w:pPr>
      <w:r>
        <w:t xml:space="preserve">No pre-filtering based on observed economics is allowed.</w:t>
      </w:r>
    </w:p>
    <w:p>
      <w:r>
        <w:pict>
          <v:rect style="width:0;height:1.5pt" o:hralign="center" o:hrstd="t" o:hr="t"/>
        </w:pict>
      </w:r>
    </w:p>
    <w:bookmarkEnd w:id="61"/>
    <w:bookmarkStart w:id="62" w:name="X491a1b708b8b2c313cecf22017670efeaa7c43a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13. Cross-baseline research comparison</w:t>
      </w:r>
    </w:p>
    <w:p>
      <w:pPr>
        <w:pStyle w:val="FirstParagraph"/>
      </w:pPr>
      <w:r>
        <w:t xml:space="preserve">Add a deterministic comparison result that directly answers the research question.</w:t>
      </w:r>
    </w:p>
    <w:p>
      <w:pPr>
        <w:pStyle w:val="BodyText"/>
      </w:pPr>
      <w:r>
        <w:t xml:space="preserve">Suggested fields:</w:t>
      </w:r>
    </w:p>
    <w:p>
      <w:pPr>
        <w:pStyle w:val="SourceCode"/>
      </w:pPr>
      <w:r>
        <w:rPr>
          <w:rStyle w:val="FunctionTok"/>
        </w:rPr>
        <w:t xml:space="preserve">geothermal_only_rank_groups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network_only_rank_groups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integrated_rank_groups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geothermal_only_best_scenario_ids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network_only_best_attachment_ids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integrated_best_alternative_ids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integrated_best_site_ids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integrated_best_attachment_ids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site_decision_changed_after_integration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true|false|null</w:t>
      </w:r>
      <w:r>
        <w:br/>
      </w:r>
      <w:r>
        <w:rPr>
          <w:rStyle w:val="FunctionTok"/>
        </w:rPr>
        <w:t xml:space="preserve">attachment_decision_changed_after_integration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true|false|null</w:t>
      </w:r>
      <w:r>
        <w:br/>
      </w:r>
      <w:r>
        <w:rPr>
          <w:rStyle w:val="FunctionTok"/>
        </w:rPr>
        <w:t xml:space="preserve">comparison_interpretation_code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FirstParagraph"/>
      </w:pPr>
      <w:r>
        <w:t xml:space="preserve">Semantics:</w:t>
      </w:r>
    </w:p>
    <w:p>
      <w:pPr>
        <w:pStyle w:val="Compact"/>
        <w:numPr>
          <w:ilvl w:val="0"/>
          <w:numId w:val="1022"/>
        </w:numPr>
      </w:pPr>
      <w:r>
        <w:t xml:space="preserve">compare</w:t>
      </w:r>
      <w:r>
        <w:t xml:space="preserve"> </w:t>
      </w:r>
      <w:r>
        <w:rPr>
          <w:b/>
          <w:bCs/>
        </w:rPr>
        <w:t xml:space="preserve">sets</w:t>
      </w:r>
      <w:r>
        <w:t xml:space="preserve">, not arbitrary first elements of tied groups;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site_decision_changed_after_integration=true</w:t>
      </w:r>
      <w:r>
        <w:t xml:space="preserve"> </w:t>
      </w:r>
      <w:r>
        <w:t xml:space="preserve">only when the integrated rank-1 site set is disjoint from the geothermal-only rank-1 site set;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when there is overlap and no stronger conclusion is justified;</w:t>
      </w:r>
    </w:p>
    <w:p>
      <w:pPr>
        <w:pStyle w:val="Compact"/>
        <w:numPr>
          <w:ilvl w:val="0"/>
          <w:numId w:val="102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/typed indeterminate code when either baseline has no feasible/rankable result;</w:t>
      </w:r>
    </w:p>
    <w:p>
      <w:pPr>
        <w:pStyle w:val="Compact"/>
        <w:numPr>
          <w:ilvl w:val="0"/>
          <w:numId w:val="1022"/>
        </w:numPr>
      </w:pPr>
      <w:r>
        <w:t xml:space="preserve">similar rules for network attachments.</w:t>
      </w:r>
    </w:p>
    <w:p>
      <w:pPr>
        <w:pStyle w:val="FirstParagraph"/>
      </w:pPr>
      <w:r>
        <w:t xml:space="preserve">Mandatory interpretation codes should include at least: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INTEGRATED_MATCHES_BOTH_BASELINES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INTEGRATED_SITE_DIFFERS_FROM_GEO_ONLY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INTEGRATED_ATTACHMENT_DIFFERS_FROM_NETWORK_ONLY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INTEGRATED_DIFFERS_FROM_BOTH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MATERIAL_TIE_PREVENTS_UNIQUE_COMPARISON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NO_FEASIBLE_INTEGRATED_ALTERNATIVE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BASELINE_NOT_RANKABLE</w:t>
      </w:r>
      <w:r>
        <w:t xml:space="preserve">.</w:t>
      </w:r>
    </w:p>
    <w:p>
      <w:pPr>
        <w:pStyle w:val="FirstParagraph"/>
      </w:pPr>
      <w:r>
        <w:t xml:space="preserve">Do not force a “coupling changes the answer” conclusion. Matching rankings are scientifically valid.</w:t>
      </w:r>
    </w:p>
    <w:p>
      <w:r>
        <w:pict>
          <v:rect style="width:0;height:1.5pt" o:hralign="center" o:hrstd="t" o:hr="t"/>
        </w:pict>
      </w:r>
    </w:p>
    <w:bookmarkEnd w:id="62"/>
    <w:bookmarkStart w:id="66" w:name="Xa7b06fb34aa67c77e585b446da1ecb3bd157512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14. Sensitivity and robustness analysis</w:t>
      </w:r>
    </w:p>
    <w:bookmarkStart w:id="63" w:name="X99889b67140b074fefeed721e206022f0f559da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14.1 Required cases</w:t>
      </w:r>
    </w:p>
    <w:p>
      <w:pPr>
        <w:pStyle w:val="FirstParagraph"/>
      </w:pPr>
      <w:r>
        <w:t xml:space="preserve">Run the integrated experiment for the configured sensitivity cases.</w:t>
      </w:r>
    </w:p>
    <w:p>
      <w:pPr>
        <w:pStyle w:val="BodyText"/>
      </w:pPr>
      <w:r>
        <w:t xml:space="preserve">Minimum categories:</w:t>
      </w:r>
    </w:p>
    <w:p>
      <w:pPr>
        <w:pStyle w:val="Compact"/>
        <w:numPr>
          <w:ilvl w:val="0"/>
          <w:numId w:val="1024"/>
        </w:numPr>
      </w:pPr>
      <w:r>
        <w:t xml:space="preserve">connection-cost perturbation;</w:t>
      </w:r>
    </w:p>
    <w:p>
      <w:pPr>
        <w:pStyle w:val="Compact"/>
        <w:numPr>
          <w:ilvl w:val="0"/>
          <w:numId w:val="1024"/>
        </w:numPr>
      </w:pPr>
      <w:r>
        <w:t xml:space="preserve">geothermal deliverable-heat downside/derating perturbation.</w:t>
      </w:r>
    </w:p>
    <w:bookmarkEnd w:id="63"/>
    <w:bookmarkStart w:id="64" w:name="Xe63346648e73e62e69fb8a333c587ec41fe72bc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14.2 No probabilistic claims</w:t>
      </w:r>
    </w:p>
    <w:p>
      <w:pPr>
        <w:pStyle w:val="FirstParagraph"/>
      </w:pPr>
      <w:r>
        <w:t xml:space="preserve">Sensitivity cases are deterministic what-if scenarios. They are not P10/P50/P90, not probability of success and not exploration risk.</w:t>
      </w:r>
    </w:p>
    <w:bookmarkEnd w:id="64"/>
    <w:bookmarkStart w:id="65" w:name="X584c89ab6a633d944846c0ecdb899a8394b31ca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14.3 Robustness classification</w:t>
      </w:r>
    </w:p>
    <w:p>
      <w:pPr>
        <w:pStyle w:val="FirstParagraph"/>
      </w:pPr>
      <w:r>
        <w:t xml:space="preserve">Publish:</w:t>
      </w:r>
    </w:p>
    <w:p>
      <w:pPr>
        <w:pStyle w:val="Compact"/>
        <w:numPr>
          <w:ilvl w:val="0"/>
          <w:numId w:val="1025"/>
        </w:numPr>
      </w:pPr>
      <w:r>
        <w:t xml:space="preserve">base rank-1 group;</w:t>
      </w:r>
    </w:p>
    <w:p>
      <w:pPr>
        <w:pStyle w:val="Compact"/>
        <w:numPr>
          <w:ilvl w:val="0"/>
          <w:numId w:val="1025"/>
        </w:numPr>
      </w:pPr>
      <w:r>
        <w:t xml:space="preserve">rank-1 group for every sensitivity case;</w:t>
      </w:r>
    </w:p>
    <w:p>
      <w:pPr>
        <w:pStyle w:val="Compact"/>
        <w:numPr>
          <w:ilvl w:val="0"/>
          <w:numId w:val="1025"/>
        </w:numPr>
      </w:pPr>
      <w:r>
        <w:t xml:space="preserve">whether base rank-1 set remains unchanged;</w:t>
      </w:r>
    </w:p>
    <w:p>
      <w:pPr>
        <w:pStyle w:val="Compact"/>
        <w:numPr>
          <w:ilvl w:val="0"/>
          <w:numId w:val="1025"/>
        </w:numPr>
      </w:pPr>
      <w:r>
        <w:t xml:space="preserve">whether any candidate becomes infeasible;</w:t>
      </w:r>
    </w:p>
    <w:p>
      <w:pPr>
        <w:pStyle w:val="Compact"/>
        <w:numPr>
          <w:ilvl w:val="0"/>
          <w:numId w:val="1025"/>
        </w:numPr>
      </w:pPr>
      <w:r>
        <w:t xml:space="preserve">maximum observed rank change for each base candidate;</w:t>
      </w:r>
    </w:p>
    <w:p>
      <w:pPr>
        <w:pStyle w:val="Compact"/>
        <w:numPr>
          <w:ilvl w:val="0"/>
          <w:numId w:val="1025"/>
        </w:numPr>
      </w:pPr>
      <w:r>
        <w:t xml:space="preserve">winning-site/attachment changes.</w:t>
      </w:r>
    </w:p>
    <w:p>
      <w:pPr>
        <w:pStyle w:val="FirstParagraph"/>
      </w:pPr>
      <w:r>
        <w:t xml:space="preserve">Use one of these classifications: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ROBUST_OVER_TESTED_RANGE</w:t>
      </w:r>
      <w:r>
        <w:t xml:space="preserve"> </w:t>
      </w:r>
      <w:r>
        <w:t xml:space="preserve">— same unique rank-1 alternative in all mandatory cases;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ROBUST_SITE_BUT_CONNECTION_SENSITIVE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ROBUST_CONNECTION_BUT_SITE_SENSITIVE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ASSUMPTION_SENSITIVE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NO_UNIQUE_BASE_WINNER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INSUFFICIENT_FEASIBLE_CASES</w:t>
      </w:r>
      <w:r>
        <w:t xml:space="preserve">.</w:t>
      </w:r>
    </w:p>
    <w:p>
      <w:pPr>
        <w:pStyle w:val="FirstParagraph"/>
      </w:pPr>
      <w:r>
        <w:t xml:space="preserve">Never shorten</w:t>
      </w:r>
      <w:r>
        <w:t xml:space="preserve"> </w:t>
      </w:r>
      <w:r>
        <w:rPr>
          <w:rStyle w:val="VerbatimChar"/>
        </w:rPr>
        <w:t xml:space="preserve">ROBUST_OVER_TESTED_RANGE</w:t>
      </w:r>
      <w:r>
        <w:t xml:space="preserve"> </w:t>
      </w:r>
      <w:r>
        <w:t xml:space="preserve">to “robust” without the tested-range qualifier.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0c3c03ac3383bdee814913941fe20cc8458108f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15. Failure ordering and gates</w:t>
      </w:r>
    </w:p>
    <w:p>
      <w:pPr>
        <w:pStyle w:val="FirstParagraph"/>
      </w:pPr>
      <w:r>
        <w:t xml:space="preserve">Retain the existing principle: physics before economics.</w:t>
      </w:r>
    </w:p>
    <w:p>
      <w:pPr>
        <w:pStyle w:val="BodyText"/>
      </w:pPr>
      <w:r>
        <w:t xml:space="preserve">For each alternative/load state, use an ordered pipeline:</w:t>
      </w:r>
    </w:p>
    <w:p>
      <w:pPr>
        <w:pStyle w:val="Compact"/>
        <w:numPr>
          <w:ilvl w:val="0"/>
          <w:numId w:val="1027"/>
        </w:numPr>
      </w:pPr>
      <w:r>
        <w:t xml:space="preserve">input/provenance validation;</w:t>
      </w:r>
    </w:p>
    <w:p>
      <w:pPr>
        <w:pStyle w:val="Compact"/>
        <w:numPr>
          <w:ilvl w:val="0"/>
          <w:numId w:val="1027"/>
        </w:numPr>
      </w:pPr>
      <w:r>
        <w:t xml:space="preserve">site/scenario/route/design compatibility;</w:t>
      </w:r>
    </w:p>
    <w:p>
      <w:pPr>
        <w:pStyle w:val="Compact"/>
        <w:numPr>
          <w:ilvl w:val="0"/>
          <w:numId w:val="1027"/>
        </w:numPr>
      </w:pPr>
      <w:r>
        <w:t xml:space="preserve">geothermal/HX coupling;</w:t>
      </w:r>
    </w:p>
    <w:p>
      <w:pPr>
        <w:pStyle w:val="Compact"/>
        <w:numPr>
          <w:ilvl w:val="0"/>
          <w:numId w:val="1027"/>
        </w:numPr>
      </w:pPr>
      <w:r>
        <w:t xml:space="preserve">pandapipes build and convergence;</w:t>
      </w:r>
    </w:p>
    <w:p>
      <w:pPr>
        <w:pStyle w:val="Compact"/>
        <w:numPr>
          <w:ilvl w:val="0"/>
          <w:numId w:val="1027"/>
        </w:numPr>
      </w:pPr>
      <w:r>
        <w:t xml:space="preserve">hydraulic/thermal technical limits;</w:t>
      </w:r>
    </w:p>
    <w:p>
      <w:pPr>
        <w:pStyle w:val="Compact"/>
        <w:numPr>
          <w:ilvl w:val="0"/>
          <w:numId w:val="1027"/>
        </w:numPr>
      </w:pPr>
      <w:r>
        <w:t xml:space="preserve">annual aggregation eligibility;</w:t>
      </w:r>
    </w:p>
    <w:p>
      <w:pPr>
        <w:pStyle w:val="Compact"/>
        <w:numPr>
          <w:ilvl w:val="0"/>
          <w:numId w:val="1027"/>
        </w:numPr>
      </w:pPr>
      <w:r>
        <w:t xml:space="preserve">economics;</w:t>
      </w:r>
    </w:p>
    <w:p>
      <w:pPr>
        <w:pStyle w:val="Compact"/>
        <w:numPr>
          <w:ilvl w:val="0"/>
          <w:numId w:val="1027"/>
        </w:numPr>
      </w:pPr>
      <w:r>
        <w:t xml:space="preserve">decision policy.</w:t>
      </w:r>
    </w:p>
    <w:p>
      <w:pPr>
        <w:pStyle w:val="FirstParagraph"/>
      </w:pPr>
      <w:r>
        <w:t xml:space="preserve">Infeasible alternatives must have blank/null economic decision fields where economics are not meaningful.</w:t>
      </w:r>
    </w:p>
    <w:p>
      <w:pPr>
        <w:pStyle w:val="BodyText"/>
      </w:pPr>
      <w:r>
        <w:t xml:space="preserve">No failure may be converted to a poor score.</w:t>
      </w:r>
    </w:p>
    <w:p>
      <w:r>
        <w:pict>
          <v:rect style="width:0;height:1.5pt" o:hralign="center" o:hrstd="t" o:hr="t"/>
        </w:pict>
      </w:r>
    </w:p>
    <w:bookmarkEnd w:id="67"/>
    <w:bookmarkStart w:id="71" w:name="X6195bf79f5aed0bd3a523285bcb43a07cb55ec1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16. MCP and CLI behavior</w:t>
      </w:r>
    </w:p>
    <w:bookmarkStart w:id="68" w:name="X97207046fe40e74120ae08387259de06562df24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16.1 One server, same six tools</w:t>
      </w:r>
    </w:p>
    <w:p>
      <w:pPr>
        <w:pStyle w:val="FirstParagraph"/>
      </w:pPr>
      <w:r>
        <w:t xml:space="preserve">Do not add a seventh public MCP tool.</w:t>
      </w:r>
    </w:p>
    <w:p>
      <w:pPr>
        <w:pStyle w:val="BodyText"/>
      </w:pPr>
      <w:r>
        <w:t xml:space="preserve">Extend the existing</w:t>
      </w:r>
      <w:r>
        <w:t xml:space="preserve"> </w:t>
      </w:r>
      <w:r>
        <w:rPr>
          <w:rStyle w:val="VerbatimChar"/>
        </w:rPr>
        <w:t xml:space="preserve">geo_run_workflow</w:t>
      </w:r>
      <w:r>
        <w:t xml:space="preserve"> </w:t>
      </w:r>
      <w:r>
        <w:t xml:space="preserve">discriminated input with one research mode, e.g.: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"research_experiment"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"experiment_package_path"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"config/research_experiment_synthetic.json"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field names may follow current conventions.</w:t>
      </w:r>
    </w:p>
    <w:bookmarkEnd w:id="68"/>
    <w:bookmarkStart w:id="69" w:name="X93d51dfc9df7a3705a79c81f208bbc0ff79cbae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16.2 Equality across interfaces</w:t>
      </w:r>
    </w:p>
    <w:p>
      <w:pPr>
        <w:pStyle w:val="FirstParagraph"/>
      </w:pPr>
      <w:r>
        <w:t xml:space="preserve">For identical normalized inputs:</w:t>
      </w:r>
    </w:p>
    <w:p>
      <w:pPr>
        <w:pStyle w:val="Compact"/>
        <w:numPr>
          <w:ilvl w:val="0"/>
          <w:numId w:val="1028"/>
        </w:numPr>
      </w:pPr>
      <w:r>
        <w:t xml:space="preserve">Python API;</w:t>
      </w:r>
    </w:p>
    <w:p>
      <w:pPr>
        <w:pStyle w:val="Compact"/>
        <w:numPr>
          <w:ilvl w:val="0"/>
          <w:numId w:val="1028"/>
        </w:numPr>
      </w:pPr>
      <w:r>
        <w:t xml:space="preserve">CLI;</w:t>
      </w:r>
    </w:p>
    <w:p>
      <w:pPr>
        <w:pStyle w:val="Compact"/>
        <w:numPr>
          <w:ilvl w:val="0"/>
          <w:numId w:val="1028"/>
        </w:numPr>
      </w:pPr>
      <w:r>
        <w:t xml:space="preserve">MCP</w:t>
      </w:r>
    </w:p>
    <w:p>
      <w:pPr>
        <w:pStyle w:val="FirstParagraph"/>
      </w:pPr>
      <w:r>
        <w:t xml:space="preserve">must produce the same scientific result ID/hash and the same normalized artifacts.</w:t>
      </w:r>
    </w:p>
    <w:bookmarkEnd w:id="69"/>
    <w:bookmarkStart w:id="70" w:name="X55be230269e6b93a24f018e969d7cdc4fe77b10"/>
    <w:p>
      <w:pPr>
        <w:pStyle w:val="Heading3"/>
      </w:pPr>
      <w:r>
        <w:rPr>
          <w:rStyle w:val="SectionNumber"/>
        </w:rPr>
        <w:t xml:space="preserve">1.17.3</w:t>
      </w:r>
      <w:r>
        <w:tab/>
      </w:r>
      <w:r>
        <w:t xml:space="preserve">16.3 LLM boundary</w:t>
      </w:r>
    </w:p>
    <w:p>
      <w:pPr>
        <w:pStyle w:val="FirstParagraph"/>
      </w:pPr>
      <w:r>
        <w:t xml:space="preserve">Claude may:</w:t>
      </w:r>
    </w:p>
    <w:p>
      <w:pPr>
        <w:pStyle w:val="Compact"/>
        <w:numPr>
          <w:ilvl w:val="0"/>
          <w:numId w:val="1029"/>
        </w:numPr>
      </w:pPr>
      <w:r>
        <w:t xml:space="preserve">select the requested workflow mode;</w:t>
      </w:r>
    </w:p>
    <w:p>
      <w:pPr>
        <w:pStyle w:val="Compact"/>
        <w:numPr>
          <w:ilvl w:val="0"/>
          <w:numId w:val="1029"/>
        </w:numPr>
      </w:pPr>
      <w:r>
        <w:t xml:space="preserve">call the deterministic tools;</w:t>
      </w:r>
    </w:p>
    <w:p>
      <w:pPr>
        <w:pStyle w:val="Compact"/>
        <w:numPr>
          <w:ilvl w:val="0"/>
          <w:numId w:val="1029"/>
        </w:numPr>
      </w:pPr>
      <w:r>
        <w:t xml:space="preserve">retrieve artifacts;</w:t>
      </w:r>
    </w:p>
    <w:p>
      <w:pPr>
        <w:pStyle w:val="Compact"/>
        <w:numPr>
          <w:ilvl w:val="0"/>
          <w:numId w:val="1029"/>
        </w:numPr>
      </w:pPr>
      <w:r>
        <w:t xml:space="preserve">summarize already-computed results.</w:t>
      </w:r>
    </w:p>
    <w:p>
      <w:pPr>
        <w:pStyle w:val="FirstParagraph"/>
      </w:pPr>
      <w:r>
        <w:t xml:space="preserve">Claude must not:</w:t>
      </w:r>
    </w:p>
    <w:p>
      <w:pPr>
        <w:pStyle w:val="Compact"/>
        <w:numPr>
          <w:ilvl w:val="0"/>
          <w:numId w:val="1030"/>
        </w:numPr>
      </w:pPr>
      <w:r>
        <w:t xml:space="preserve">invent missing inputs;</w:t>
      </w:r>
    </w:p>
    <w:p>
      <w:pPr>
        <w:pStyle w:val="Compact"/>
        <w:numPr>
          <w:ilvl w:val="0"/>
          <w:numId w:val="1030"/>
        </w:numPr>
      </w:pPr>
      <w:r>
        <w:t xml:space="preserve">modify thresholds after seeing results;</w:t>
      </w:r>
    </w:p>
    <w:p>
      <w:pPr>
        <w:pStyle w:val="Compact"/>
        <w:numPr>
          <w:ilvl w:val="0"/>
          <w:numId w:val="1030"/>
        </w:numPr>
      </w:pPr>
      <w:r>
        <w:t xml:space="preserve">calculate hydraulic/thermal results itself;</w:t>
      </w:r>
    </w:p>
    <w:p>
      <w:pPr>
        <w:pStyle w:val="Compact"/>
        <w:numPr>
          <w:ilvl w:val="0"/>
          <w:numId w:val="1030"/>
        </w:numPr>
      </w:pPr>
      <w:r>
        <w:t xml:space="preserve">fabricate LCOH;</w:t>
      </w:r>
    </w:p>
    <w:p>
      <w:pPr>
        <w:pStyle w:val="Compact"/>
        <w:numPr>
          <w:ilvl w:val="0"/>
          <w:numId w:val="1030"/>
        </w:numPr>
      </w:pPr>
      <w:r>
        <w:t xml:space="preserve">decide feasibility;</w:t>
      </w:r>
    </w:p>
    <w:p>
      <w:pPr>
        <w:pStyle w:val="Compact"/>
        <w:numPr>
          <w:ilvl w:val="0"/>
          <w:numId w:val="1030"/>
        </w:numPr>
      </w:pPr>
      <w:r>
        <w:t xml:space="preserve">override rank groups;</w:t>
      </w:r>
    </w:p>
    <w:p>
      <w:pPr>
        <w:pStyle w:val="Compact"/>
        <w:numPr>
          <w:ilvl w:val="0"/>
          <w:numId w:val="1030"/>
        </w:numPr>
      </w:pPr>
      <w:r>
        <w:t xml:space="preserve">claim real drilling recommendations.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50521b20add05147f604446a9961f3317b4423f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17. Required artifact bundle</w:t>
      </w:r>
    </w:p>
    <w:p>
      <w:pPr>
        <w:pStyle w:val="FirstParagraph"/>
      </w:pPr>
      <w:r>
        <w:t xml:space="preserve">A successful research experiment shall publish at least: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experiment_input.json</w:t>
      </w:r>
      <w:r>
        <w:t xml:space="preserve"> </w:t>
      </w:r>
      <w:r>
        <w:t xml:space="preserve">— normalized experiment package;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joint_study_snapshot.json</w:t>
      </w:r>
      <w:r>
        <w:t xml:space="preserve"> </w:t>
      </w:r>
      <w:r>
        <w:t xml:space="preserve">— exact referenced v2 study package;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load_states.json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load_state_results.json</w:t>
      </w:r>
      <w:r>
        <w:t xml:space="preserve"> </w:t>
      </w:r>
      <w:r>
        <w:t xml:space="preserve">— one result per integrated alternative × load state;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annualized_alternative_comparison.csv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annualized_integrated_result.json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geothermal_only_result.json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geothermal_only_comparison.csv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network_only_result.json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network_only_comparison.csv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research_comparison.json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research_comparison.csv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sensitivity_results.json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sensitivity_comparison.csv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objective_policy.json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pareto_or_ranking.json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research_findings.md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audit.json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manifest.json</w:t>
      </w:r>
      <w:r>
        <w:t xml:space="preserve">.</w:t>
      </w:r>
    </w:p>
    <w:p>
      <w:pPr>
        <w:pStyle w:val="FirstParagraph"/>
      </w:pPr>
      <w:r>
        <w:t xml:space="preserve">The existing v2 route/site artifacts may be copied or referenced by hash rather than redundantly recomputed if the scientific identity is unchanged.</w:t>
      </w:r>
    </w:p>
    <w:bookmarkStart w:id="72" w:name="Xfe6b44a0443e3b6d945c64d10635072a6adfedc"/>
    <w:p>
      <w:pPr>
        <w:pStyle w:val="Heading3"/>
      </w:pPr>
      <w:r>
        <w:rPr>
          <w:rStyle w:val="SectionNumber"/>
        </w:rPr>
        <w:t xml:space="preserve">1.18.1</w:t>
      </w:r>
      <w:r>
        <w:tab/>
      </w:r>
      <w:r>
        <w:t xml:space="preserve">17.1</w:t>
      </w:r>
      <w:r>
        <w:t xml:space="preserve"> </w:t>
      </w:r>
      <w:r>
        <w:rPr>
          <w:rStyle w:val="VerbatimChar"/>
        </w:rPr>
        <w:t xml:space="preserve">research_findings.md</w:t>
      </w:r>
    </w:p>
    <w:p>
      <w:pPr>
        <w:pStyle w:val="FirstParagraph"/>
      </w:pPr>
      <w:r>
        <w:t xml:space="preserve">Must state, deterministically:</w:t>
      </w:r>
    </w:p>
    <w:p>
      <w:pPr>
        <w:pStyle w:val="Compact"/>
        <w:numPr>
          <w:ilvl w:val="0"/>
          <w:numId w:val="1032"/>
        </w:numPr>
      </w:pPr>
      <w:r>
        <w:t xml:space="preserve">this is a synthetic methodology demonstration;</w:t>
      </w:r>
    </w:p>
    <w:p>
      <w:pPr>
        <w:pStyle w:val="Compact"/>
        <w:numPr>
          <w:ilvl w:val="0"/>
          <w:numId w:val="1032"/>
        </w:numPr>
      </w:pPr>
      <w:r>
        <w:t xml:space="preserve">the best geothermal-only scenario/rank group;</w:t>
      </w:r>
    </w:p>
    <w:p>
      <w:pPr>
        <w:pStyle w:val="Compact"/>
        <w:numPr>
          <w:ilvl w:val="0"/>
          <w:numId w:val="1032"/>
        </w:numPr>
      </w:pPr>
      <w:r>
        <w:t xml:space="preserve">the best network-only attachment/rank group;</w:t>
      </w:r>
    </w:p>
    <w:p>
      <w:pPr>
        <w:pStyle w:val="Compact"/>
        <w:numPr>
          <w:ilvl w:val="0"/>
          <w:numId w:val="1032"/>
        </w:numPr>
      </w:pPr>
      <w:r>
        <w:t xml:space="preserve">the integrated rank-1 group;</w:t>
      </w:r>
    </w:p>
    <w:p>
      <w:pPr>
        <w:pStyle w:val="Compact"/>
        <w:numPr>
          <w:ilvl w:val="0"/>
          <w:numId w:val="1032"/>
        </w:numPr>
      </w:pPr>
      <w:r>
        <w:t xml:space="preserve">whether integration changed the site and/or attachment conclusion;</w:t>
      </w:r>
    </w:p>
    <w:p>
      <w:pPr>
        <w:pStyle w:val="Compact"/>
        <w:numPr>
          <w:ilvl w:val="0"/>
          <w:numId w:val="1032"/>
        </w:numPr>
      </w:pPr>
      <w:r>
        <w:t xml:space="preserve">Pareto shortlist;</w:t>
      </w:r>
    </w:p>
    <w:p>
      <w:pPr>
        <w:pStyle w:val="Compact"/>
        <w:numPr>
          <w:ilvl w:val="0"/>
          <w:numId w:val="1032"/>
        </w:numPr>
      </w:pPr>
      <w:r>
        <w:t xml:space="preserve">robustness classification;</w:t>
      </w:r>
    </w:p>
    <w:p>
      <w:pPr>
        <w:pStyle w:val="Compact"/>
        <w:numPr>
          <w:ilvl w:val="0"/>
          <w:numId w:val="1032"/>
        </w:numPr>
      </w:pPr>
      <w:r>
        <w:t xml:space="preserve">exact caveats: synthetic geology/costs, steady-state PyDoublet boundary, representative load states, no exploration risk, no real Wuppertal recommendation.</w:t>
      </w:r>
    </w:p>
    <w:p>
      <w:pPr>
        <w:pStyle w:val="FirstParagraph"/>
      </w:pPr>
      <w:r>
        <w:t xml:space="preserve">Do not write a natural-language claim that is not derivable from fields in</w:t>
      </w:r>
      <w:r>
        <w:t xml:space="preserve"> </w:t>
      </w:r>
      <w:r>
        <w:rPr>
          <w:rStyle w:val="VerbatimChar"/>
        </w:rPr>
        <w:t xml:space="preserve">research_comparison.json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sensitivity_results.json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X93bf296b3bc1905f776206a8719834ab4d1b75d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18. Scientific identity and reproducibility</w:t>
      </w:r>
    </w:p>
    <w:bookmarkStart w:id="74" w:name="X95ce4c14d02638e1a3cae782356ea5f5060482c"/>
    <w:p>
      <w:pPr>
        <w:pStyle w:val="Heading3"/>
      </w:pPr>
      <w:r>
        <w:rPr>
          <w:rStyle w:val="SectionNumber"/>
        </w:rPr>
        <w:t xml:space="preserve">1.19.1</w:t>
      </w:r>
      <w:r>
        <w:tab/>
      </w:r>
      <w:r>
        <w:t xml:space="preserve">18.1 Run identity</w:t>
      </w:r>
    </w:p>
    <w:p>
      <w:pPr>
        <w:pStyle w:val="FirstParagraph"/>
      </w:pPr>
      <w:r>
        <w:t xml:space="preserve">Scientific identity shall include:</w:t>
      </w:r>
    </w:p>
    <w:p>
      <w:pPr>
        <w:pStyle w:val="Compact"/>
        <w:numPr>
          <w:ilvl w:val="0"/>
          <w:numId w:val="1033"/>
        </w:numPr>
      </w:pPr>
      <w:r>
        <w:t xml:space="preserve">experiment package normalized content;</w:t>
      </w:r>
    </w:p>
    <w:p>
      <w:pPr>
        <w:pStyle w:val="Compact"/>
        <w:numPr>
          <w:ilvl w:val="0"/>
          <w:numId w:val="1033"/>
        </w:numPr>
      </w:pPr>
      <w:r>
        <w:t xml:space="preserve">referenced joint study package hash;</w:t>
      </w:r>
    </w:p>
    <w:p>
      <w:pPr>
        <w:pStyle w:val="Compact"/>
        <w:numPr>
          <w:ilvl w:val="0"/>
          <w:numId w:val="1033"/>
        </w:numPr>
      </w:pPr>
      <w:r>
        <w:t xml:space="preserve">load states;</w:t>
      </w:r>
    </w:p>
    <w:p>
      <w:pPr>
        <w:pStyle w:val="Compact"/>
        <w:numPr>
          <w:ilvl w:val="0"/>
          <w:numId w:val="1033"/>
        </w:numPr>
      </w:pPr>
      <w:r>
        <w:t xml:space="preserve">baseline policy;</w:t>
      </w:r>
    </w:p>
    <w:p>
      <w:pPr>
        <w:pStyle w:val="Compact"/>
        <w:numPr>
          <w:ilvl w:val="0"/>
          <w:numId w:val="1033"/>
        </w:numPr>
      </w:pPr>
      <w:r>
        <w:t xml:space="preserve">annualization policy;</w:t>
      </w:r>
    </w:p>
    <w:p>
      <w:pPr>
        <w:pStyle w:val="Compact"/>
        <w:numPr>
          <w:ilvl w:val="0"/>
          <w:numId w:val="1033"/>
        </w:numPr>
      </w:pPr>
      <w:r>
        <w:t xml:space="preserve">decision policy;</w:t>
      </w:r>
    </w:p>
    <w:p>
      <w:pPr>
        <w:pStyle w:val="Compact"/>
        <w:numPr>
          <w:ilvl w:val="0"/>
          <w:numId w:val="1033"/>
        </w:numPr>
      </w:pPr>
      <w:r>
        <w:t xml:space="preserve">sensitivity cases;</w:t>
      </w:r>
    </w:p>
    <w:p>
      <w:pPr>
        <w:pStyle w:val="Compact"/>
        <w:numPr>
          <w:ilvl w:val="0"/>
          <w:numId w:val="1033"/>
        </w:numPr>
      </w:pPr>
      <w:r>
        <w:t xml:space="preserve">relevant code/schema version.</w:t>
      </w:r>
    </w:p>
    <w:p>
      <w:pPr>
        <w:pStyle w:val="FirstParagraph"/>
      </w:pPr>
      <w:r>
        <w:t xml:space="preserve">Wall-clock timestamps must not affect scientific hashes.</w:t>
      </w:r>
    </w:p>
    <w:bookmarkEnd w:id="74"/>
    <w:bookmarkStart w:id="75" w:name="X55900a4f043adba113e243ae1efbc1712036af8"/>
    <w:p>
      <w:pPr>
        <w:pStyle w:val="Heading3"/>
      </w:pPr>
      <w:r>
        <w:rPr>
          <w:rStyle w:val="SectionNumber"/>
        </w:rPr>
        <w:t xml:space="preserve">1.19.2</w:t>
      </w:r>
      <w:r>
        <w:tab/>
      </w:r>
      <w:r>
        <w:t xml:space="preserve">18.2 Determinism</w:t>
      </w:r>
    </w:p>
    <w:p>
      <w:pPr>
        <w:pStyle w:val="FirstParagraph"/>
      </w:pPr>
      <w:r>
        <w:t xml:space="preserve">Two independent runs with identical scientific inputs must produce:</w:t>
      </w:r>
    </w:p>
    <w:p>
      <w:pPr>
        <w:pStyle w:val="Compact"/>
        <w:numPr>
          <w:ilvl w:val="0"/>
          <w:numId w:val="1034"/>
        </w:numPr>
      </w:pPr>
      <w:r>
        <w:t xml:space="preserve">identical scientific run ID;</w:t>
      </w:r>
    </w:p>
    <w:p>
      <w:pPr>
        <w:pStyle w:val="Compact"/>
        <w:numPr>
          <w:ilvl w:val="0"/>
          <w:numId w:val="1034"/>
        </w:numPr>
      </w:pPr>
      <w:r>
        <w:t xml:space="preserve">identical normalized scientific bundle hash;</w:t>
      </w:r>
    </w:p>
    <w:p>
      <w:pPr>
        <w:pStyle w:val="Compact"/>
        <w:numPr>
          <w:ilvl w:val="0"/>
          <w:numId w:val="1034"/>
        </w:numPr>
      </w:pPr>
      <w:r>
        <w:t xml:space="preserve">identical CSV row ordering;</w:t>
      </w:r>
    </w:p>
    <w:p>
      <w:pPr>
        <w:pStyle w:val="Compact"/>
        <w:numPr>
          <w:ilvl w:val="0"/>
          <w:numId w:val="1034"/>
        </w:numPr>
      </w:pPr>
      <w:r>
        <w:t xml:space="preserve">identical rank groups;</w:t>
      </w:r>
    </w:p>
    <w:p>
      <w:pPr>
        <w:pStyle w:val="Compact"/>
        <w:numPr>
          <w:ilvl w:val="0"/>
          <w:numId w:val="1034"/>
        </w:numPr>
      </w:pPr>
      <w:r>
        <w:t xml:space="preserve">identical interpretation and robustness codes.</w:t>
      </w:r>
    </w:p>
    <w:p>
      <w:pPr>
        <w:pStyle w:val="FirstParagraph"/>
      </w:pPr>
      <w:r>
        <w:t xml:space="preserve">Byte hashes may differ only for files explicitly containing real invocation timestamps, following existing repository conventions.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f5727cdcbfaa971346684abcb2c83e6645b7459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19. Data/provenance rules</w:t>
      </w:r>
    </w:p>
    <w:p>
      <w:pPr>
        <w:pStyle w:val="FirstParagraph"/>
      </w:pPr>
      <w:r>
        <w:t xml:space="preserve">Every non-derived numeric assumption must be classified as: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approved_source</w:t>
      </w:r>
      <w:r>
        <w:t xml:space="preserve">, or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synthetic_assumption</w:t>
      </w:r>
      <w:r>
        <w:t xml:space="preserve">.</w:t>
      </w:r>
    </w:p>
    <w:p>
      <w:pPr>
        <w:pStyle w:val="FirstParagraph"/>
      </w:pPr>
      <w:r>
        <w:t xml:space="preserve">Every sensitivity perturbation must record:</w:t>
      </w:r>
    </w:p>
    <w:p>
      <w:pPr>
        <w:pStyle w:val="Compact"/>
        <w:numPr>
          <w:ilvl w:val="0"/>
          <w:numId w:val="1036"/>
        </w:numPr>
      </w:pPr>
      <w:r>
        <w:t xml:space="preserve">base field/path;</w:t>
      </w:r>
    </w:p>
    <w:p>
      <w:pPr>
        <w:pStyle w:val="Compact"/>
        <w:numPr>
          <w:ilvl w:val="0"/>
          <w:numId w:val="1036"/>
        </w:numPr>
      </w:pPr>
      <w:r>
        <w:t xml:space="preserve">base value;</w:t>
      </w:r>
    </w:p>
    <w:p>
      <w:pPr>
        <w:pStyle w:val="Compact"/>
        <w:numPr>
          <w:ilvl w:val="0"/>
          <w:numId w:val="1036"/>
        </w:numPr>
      </w:pPr>
      <w:r>
        <w:t xml:space="preserve">multiplier/derating;</w:t>
      </w:r>
    </w:p>
    <w:p>
      <w:pPr>
        <w:pStyle w:val="Compact"/>
        <w:numPr>
          <w:ilvl w:val="0"/>
          <w:numId w:val="1036"/>
        </w:numPr>
      </w:pPr>
      <w:r>
        <w:t xml:space="preserve">resulting value;</w:t>
      </w:r>
    </w:p>
    <w:p>
      <w:pPr>
        <w:pStyle w:val="Compact"/>
        <w:numPr>
          <w:ilvl w:val="0"/>
          <w:numId w:val="1036"/>
        </w:numPr>
      </w:pPr>
      <w:r>
        <w:t xml:space="preserve">reason;</w:t>
      </w:r>
    </w:p>
    <w:p>
      <w:pPr>
        <w:pStyle w:val="Compact"/>
        <w:numPr>
          <w:ilvl w:val="0"/>
          <w:numId w:val="1036"/>
        </w:numPr>
      </w:pPr>
      <w:r>
        <w:t xml:space="preserve">source/approval reference.</w:t>
      </w:r>
    </w:p>
    <w:p>
      <w:pPr>
        <w:pStyle w:val="FirstParagraph"/>
      </w:pPr>
      <w:r>
        <w:t xml:space="preserve">Do not replace missing site-specific PyDoublet data with guessed geology.</w:t>
      </w:r>
    </w:p>
    <w:p>
      <w:pPr>
        <w:pStyle w:val="BodyText"/>
      </w:pPr>
      <w:r>
        <w:t xml:space="preserve">The current synthetic scenarios remain a methodology demonstration only.</w:t>
      </w:r>
    </w:p>
    <w:p>
      <w:r>
        <w:pict>
          <v:rect style="width:0;height:1.5pt" o:hralign="center" o:hrstd="t" o:hr="t"/>
        </w:pict>
      </w:r>
    </w:p>
    <w:bookmarkEnd w:id="77"/>
    <w:bookmarkStart w:id="88" w:name="X949d3f8883340a0d788cd911550ff6ec2faa4af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20. Testing specification</w:t>
      </w:r>
    </w:p>
    <w:bookmarkStart w:id="78" w:name="Xe8ff2f6e3bd8ae4f2b9b2cdbfecb3363509bb2d"/>
    <w:p>
      <w:pPr>
        <w:pStyle w:val="Heading3"/>
      </w:pPr>
      <w:r>
        <w:rPr>
          <w:rStyle w:val="SectionNumber"/>
        </w:rPr>
        <w:t xml:space="preserve">1.21.1</w:t>
      </w:r>
      <w:r>
        <w:tab/>
      </w:r>
      <w:r>
        <w:t xml:space="preserve">20.1 Regression tests — must remain green</w:t>
      </w:r>
    </w:p>
    <w:p>
      <w:pPr>
        <w:pStyle w:val="FirstParagraph"/>
      </w:pPr>
      <w:r>
        <w:t xml:space="preserve">Preserve and execute all existing tests, including:</w:t>
      </w:r>
    </w:p>
    <w:p>
      <w:pPr>
        <w:pStyle w:val="Compact"/>
        <w:numPr>
          <w:ilvl w:val="0"/>
          <w:numId w:val="1037"/>
        </w:numPr>
      </w:pPr>
      <w:r>
        <w:t xml:space="preserve">canonical C1–C4 run ID/KPIs/ranking;</w:t>
      </w:r>
    </w:p>
    <w:p>
      <w:pPr>
        <w:pStyle w:val="Compact"/>
        <w:numPr>
          <w:ilvl w:val="0"/>
          <w:numId w:val="1037"/>
        </w:numPr>
      </w:pPr>
      <w:r>
        <w:t xml:space="preserve">v2 site/scenario/route compatibility;</w:t>
      </w:r>
    </w:p>
    <w:p>
      <w:pPr>
        <w:pStyle w:val="Compact"/>
        <w:numPr>
          <w:ilvl w:val="0"/>
          <w:numId w:val="1037"/>
        </w:numPr>
      </w:pPr>
      <w:r>
        <w:t xml:space="preserve">route geometry and cost;</w:t>
      </w:r>
    </w:p>
    <w:p>
      <w:pPr>
        <w:pStyle w:val="Compact"/>
        <w:numPr>
          <w:ilvl w:val="0"/>
          <w:numId w:val="1037"/>
        </w:numPr>
      </w:pPr>
      <w:r>
        <w:t xml:space="preserve">connection-DN execution;</w:t>
      </w:r>
    </w:p>
    <w:p>
      <w:pPr>
        <w:pStyle w:val="Compact"/>
        <w:numPr>
          <w:ilvl w:val="0"/>
          <w:numId w:val="1037"/>
        </w:numPr>
      </w:pPr>
      <w:r>
        <w:t xml:space="preserve">HX and pandapipes failure codes;</w:t>
      </w:r>
    </w:p>
    <w:p>
      <w:pPr>
        <w:pStyle w:val="Compact"/>
        <w:numPr>
          <w:ilvl w:val="0"/>
          <w:numId w:val="1037"/>
        </w:numPr>
      </w:pPr>
      <w:r>
        <w:t xml:space="preserve">Pareto materiality behavior;</w:t>
      </w:r>
    </w:p>
    <w:p>
      <w:pPr>
        <w:pStyle w:val="Compact"/>
        <w:numPr>
          <w:ilvl w:val="0"/>
          <w:numId w:val="1037"/>
        </w:numPr>
      </w:pPr>
      <w:r>
        <w:t xml:space="preserve">CLI/MCP/persistence;</w:t>
      </w:r>
    </w:p>
    <w:p>
      <w:pPr>
        <w:pStyle w:val="Compact"/>
        <w:numPr>
          <w:ilvl w:val="0"/>
          <w:numId w:val="1037"/>
        </w:numPr>
      </w:pPr>
      <w:r>
        <w:t xml:space="preserve">scientific hashing;</w:t>
      </w:r>
    </w:p>
    <w:p>
      <w:pPr>
        <w:pStyle w:val="Compact"/>
        <w:numPr>
          <w:ilvl w:val="0"/>
          <w:numId w:val="1037"/>
        </w:numPr>
      </w:pPr>
      <w:r>
        <w:t xml:space="preserve">wheel install and CI platform tests.</w:t>
      </w:r>
    </w:p>
    <w:p>
      <w:pPr>
        <w:pStyle w:val="FirstParagraph"/>
      </w:pPr>
      <w:r>
        <w:t xml:space="preserve">Existing canonical and existing v2 fixtures must remain scientifically unchanged unless a separately approved migration is required.</w:t>
      </w:r>
    </w:p>
    <w:bookmarkEnd w:id="78"/>
    <w:bookmarkStart w:id="79" w:name="Xfde300eb522643a9d3d2a6e01d1b5efe5e195ab"/>
    <w:p>
      <w:pPr>
        <w:pStyle w:val="Heading3"/>
      </w:pPr>
      <w:r>
        <w:rPr>
          <w:rStyle w:val="SectionNumber"/>
        </w:rPr>
        <w:t xml:space="preserve">1.21.2</w:t>
      </w:r>
      <w:r>
        <w:tab/>
      </w:r>
      <w:r>
        <w:t xml:space="preserve">20.2 New contract tests</w:t>
      </w:r>
    </w:p>
    <w:p>
      <w:pPr>
        <w:pStyle w:val="FirstParagraph"/>
      </w:pPr>
      <w:r>
        <w:t xml:space="preserve">Add tests for:</w:t>
      </w:r>
    </w:p>
    <w:p>
      <w:pPr>
        <w:pStyle w:val="Compact"/>
        <w:numPr>
          <w:ilvl w:val="0"/>
          <w:numId w:val="1038"/>
        </w:numPr>
      </w:pPr>
      <w:r>
        <w:t xml:space="preserve">unique load-state IDs;</w:t>
      </w:r>
    </w:p>
    <w:p>
      <w:pPr>
        <w:pStyle w:val="Compact"/>
        <w:numPr>
          <w:ilvl w:val="0"/>
          <w:numId w:val="1038"/>
        </w:numPr>
      </w:pPr>
      <w:r>
        <w:t xml:space="preserve">positive demand multipliers;</w:t>
      </w:r>
    </w:p>
    <w:p>
      <w:pPr>
        <w:pStyle w:val="Compact"/>
        <w:numPr>
          <w:ilvl w:val="0"/>
          <w:numId w:val="1038"/>
        </w:numPr>
      </w:pPr>
      <w:r>
        <w:t xml:space="preserve">valid hour sum;</w:t>
      </w:r>
    </w:p>
    <w:p>
      <w:pPr>
        <w:pStyle w:val="Compact"/>
        <w:numPr>
          <w:ilvl w:val="0"/>
          <w:numId w:val="1038"/>
        </w:numPr>
      </w:pPr>
      <w:r>
        <w:t xml:space="preserve">classification/provenance;</w:t>
      </w:r>
    </w:p>
    <w:p>
      <w:pPr>
        <w:pStyle w:val="Compact"/>
        <w:numPr>
          <w:ilvl w:val="0"/>
          <w:numId w:val="1038"/>
        </w:numPr>
      </w:pPr>
      <w:r>
        <w:t xml:space="preserve">baseline reference IDs exist in joint study package;</w:t>
      </w:r>
    </w:p>
    <w:p>
      <w:pPr>
        <w:pStyle w:val="Compact"/>
        <w:numPr>
          <w:ilvl w:val="0"/>
          <w:numId w:val="1038"/>
        </w:numPr>
      </w:pPr>
      <w:r>
        <w:t xml:space="preserve">sensitivity factors valid and finite;</w:t>
      </w:r>
    </w:p>
    <w:p>
      <w:pPr>
        <w:pStyle w:val="Compact"/>
        <w:numPr>
          <w:ilvl w:val="0"/>
          <w:numId w:val="1038"/>
        </w:numPr>
      </w:pPr>
      <w:r>
        <w:t xml:space="preserve">no real-mode use without readiness.</w:t>
      </w:r>
    </w:p>
    <w:bookmarkEnd w:id="79"/>
    <w:bookmarkStart w:id="80" w:name="Xb88131e5615dc55f92568b3494942c6267b3b75"/>
    <w:p>
      <w:pPr>
        <w:pStyle w:val="Heading3"/>
      </w:pPr>
      <w:r>
        <w:rPr>
          <w:rStyle w:val="SectionNumber"/>
        </w:rPr>
        <w:t xml:space="preserve">1.21.3</w:t>
      </w:r>
      <w:r>
        <w:tab/>
      </w:r>
      <w:r>
        <w:t xml:space="preserve">20.3 Load-state tests</w:t>
      </w:r>
    </w:p>
    <w:p>
      <w:pPr>
        <w:pStyle w:val="FirstParagraph"/>
      </w:pPr>
      <w:r>
        <w:t xml:space="preserve">Add tests that prove:</w:t>
      </w:r>
    </w:p>
    <w:p>
      <w:pPr>
        <w:pStyle w:val="Compact"/>
        <w:numPr>
          <w:ilvl w:val="0"/>
          <w:numId w:val="1039"/>
        </w:numPr>
      </w:pPr>
      <w:r>
        <w:t xml:space="preserve">demand scaling affects only intended consumer loads;</w:t>
      </w:r>
    </w:p>
    <w:p>
      <w:pPr>
        <w:pStyle w:val="Compact"/>
        <w:numPr>
          <w:ilvl w:val="0"/>
          <w:numId w:val="1039"/>
        </w:numPr>
      </w:pPr>
      <w:r>
        <w:t xml:space="preserve">topology and route identity stay fixed;</w:t>
      </w:r>
    </w:p>
    <w:p>
      <w:pPr>
        <w:pStyle w:val="Compact"/>
        <w:numPr>
          <w:ilvl w:val="0"/>
          <w:numId w:val="1039"/>
        </w:numPr>
      </w:pPr>
      <w:r>
        <w:t xml:space="preserve">fresh network state per run;</w:t>
      </w:r>
    </w:p>
    <w:p>
      <w:pPr>
        <w:pStyle w:val="Compact"/>
        <w:numPr>
          <w:ilvl w:val="0"/>
          <w:numId w:val="1039"/>
        </w:numPr>
      </w:pPr>
      <w:r>
        <w:t xml:space="preserve">curtailment does not over-inject heat;</w:t>
      </w:r>
    </w:p>
    <w:p>
      <w:pPr>
        <w:pStyle w:val="Compact"/>
        <w:numPr>
          <w:ilvl w:val="0"/>
          <w:numId w:val="1039"/>
        </w:numPr>
      </w:pPr>
      <w:r>
        <w:t xml:space="preserve">auxiliary heat is never negative;</w:t>
      </w:r>
    </w:p>
    <w:p>
      <w:pPr>
        <w:pStyle w:val="Compact"/>
        <w:numPr>
          <w:ilvl w:val="0"/>
          <w:numId w:val="1039"/>
        </w:numPr>
      </w:pPr>
      <w:r>
        <w:t xml:space="preserve">required-state failure makes annual alternative infeasible;</w:t>
      </w:r>
    </w:p>
    <w:p>
      <w:pPr>
        <w:pStyle w:val="Compact"/>
        <w:numPr>
          <w:ilvl w:val="0"/>
          <w:numId w:val="1039"/>
        </w:numPr>
      </w:pPr>
      <w:r>
        <w:t xml:space="preserve">optional-state failure behavior is explicit if optional states are supported.</w:t>
      </w:r>
    </w:p>
    <w:bookmarkEnd w:id="80"/>
    <w:bookmarkStart w:id="81" w:name="X1d5ad929fd8e154a917caf5b983f6c7eaba4b1e"/>
    <w:p>
      <w:pPr>
        <w:pStyle w:val="Heading3"/>
      </w:pPr>
      <w:r>
        <w:rPr>
          <w:rStyle w:val="SectionNumber"/>
        </w:rPr>
        <w:t xml:space="preserve">1.21.4</w:t>
      </w:r>
      <w:r>
        <w:tab/>
      </w:r>
      <w:r>
        <w:t xml:space="preserve">20.4 Annualization tests</w:t>
      </w:r>
    </w:p>
    <w:p>
      <w:pPr>
        <w:pStyle w:val="FirstParagraph"/>
      </w:pPr>
      <w:r>
        <w:t xml:space="preserve">Prove numerically: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E_useful = Σ Q_delivered × hours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pumping electricity =</w:t>
      </w:r>
      <w:r>
        <w:t xml:space="preserve"> </w:t>
      </w:r>
      <w:r>
        <w:rPr>
          <w:rStyle w:val="VerbatimChar"/>
        </w:rPr>
        <w:t xml:space="preserve">Σ P_pump × hours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auxiliary energy =</w:t>
      </w:r>
      <w:r>
        <w:t xml:space="preserve"> </w:t>
      </w:r>
      <w:r>
        <w:rPr>
          <w:rStyle w:val="VerbatimChar"/>
        </w:rPr>
        <w:t xml:space="preserve">Σ Q_aux × hours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CAPEX annualized exactly once;</w:t>
      </w:r>
    </w:p>
    <w:p>
      <w:pPr>
        <w:pStyle w:val="Compact"/>
        <w:numPr>
          <w:ilvl w:val="0"/>
          <w:numId w:val="1040"/>
        </w:numPr>
      </w:pPr>
      <w:r>
        <w:t xml:space="preserve">pumping electricity is a cost-numerator term, never subtracted from useful thermal heat;</w:t>
      </w:r>
    </w:p>
    <w:p>
      <w:pPr>
        <w:pStyle w:val="Compact"/>
        <w:numPr>
          <w:ilvl w:val="0"/>
          <w:numId w:val="1040"/>
        </w:numPr>
      </w:pPr>
      <w:r>
        <w:t xml:space="preserve">zero useful heat cannot produce finite LCOH;</w:t>
      </w:r>
    </w:p>
    <w:p>
      <w:pPr>
        <w:pStyle w:val="Compact"/>
        <w:numPr>
          <w:ilvl w:val="0"/>
          <w:numId w:val="1040"/>
        </w:numPr>
      </w:pPr>
      <w:r>
        <w:t xml:space="preserve">cost components sum exactly to total annual cost within declared tolerance.</w:t>
      </w:r>
    </w:p>
    <w:bookmarkEnd w:id="81"/>
    <w:bookmarkStart w:id="82" w:name="Xfe869b79da6a6c56839f5e206fcb37259601cc4"/>
    <w:p>
      <w:pPr>
        <w:pStyle w:val="Heading3"/>
      </w:pPr>
      <w:r>
        <w:rPr>
          <w:rStyle w:val="SectionNumber"/>
        </w:rPr>
        <w:t xml:space="preserve">1.21.5</w:t>
      </w:r>
      <w:r>
        <w:tab/>
      </w:r>
      <w:r>
        <w:t xml:space="preserve">20.5 Decision tests</w:t>
      </w:r>
    </w:p>
    <w:p>
      <w:pPr>
        <w:pStyle w:val="FirstParagraph"/>
      </w:pPr>
      <w:r>
        <w:t xml:space="preserve">Prove:</w:t>
      </w:r>
    </w:p>
    <w:p>
      <w:pPr>
        <w:pStyle w:val="Compact"/>
        <w:numPr>
          <w:ilvl w:val="0"/>
          <w:numId w:val="1041"/>
        </w:numPr>
      </w:pPr>
      <w:r>
        <w:t xml:space="preserve">primary-objective ranking uses annualized system LCOH;</w:t>
      </w:r>
    </w:p>
    <w:p>
      <w:pPr>
        <w:pStyle w:val="Compact"/>
        <w:numPr>
          <w:ilvl w:val="0"/>
          <w:numId w:val="1041"/>
        </w:numPr>
      </w:pPr>
      <w:r>
        <w:t xml:space="preserve">materiality creates shared rank groups;</w:t>
      </w:r>
    </w:p>
    <w:p>
      <w:pPr>
        <w:pStyle w:val="Compact"/>
        <w:numPr>
          <w:ilvl w:val="0"/>
          <w:numId w:val="1041"/>
        </w:numPr>
      </w:pPr>
      <w:r>
        <w:t xml:space="preserve">no ID-based scientific tie-break;</w:t>
      </w:r>
    </w:p>
    <w:p>
      <w:pPr>
        <w:pStyle w:val="Compact"/>
        <w:numPr>
          <w:ilvl w:val="0"/>
          <w:numId w:val="1041"/>
        </w:numPr>
      </w:pPr>
      <w:r>
        <w:t xml:space="preserve">preferred ID only for a unique first rank;</w:t>
      </w:r>
    </w:p>
    <w:p>
      <w:pPr>
        <w:pStyle w:val="Compact"/>
        <w:numPr>
          <w:ilvl w:val="0"/>
          <w:numId w:val="1041"/>
        </w:numPr>
      </w:pPr>
      <w:r>
        <w:t xml:space="preserve">Pareto shortlist still computed independently;</w:t>
      </w:r>
    </w:p>
    <w:p>
      <w:pPr>
        <w:pStyle w:val="Compact"/>
        <w:numPr>
          <w:ilvl w:val="0"/>
          <w:numId w:val="1041"/>
        </w:numPr>
      </w:pPr>
      <w:r>
        <w:t xml:space="preserve">infeasible alternatives never enter ranking.</w:t>
      </w:r>
    </w:p>
    <w:bookmarkEnd w:id="82"/>
    <w:bookmarkStart w:id="83" w:name="X88e551f61b4e200a8fd28cae7fb5e7adb19178b"/>
    <w:p>
      <w:pPr>
        <w:pStyle w:val="Heading3"/>
      </w:pPr>
      <w:r>
        <w:rPr>
          <w:rStyle w:val="SectionNumber"/>
        </w:rPr>
        <w:t xml:space="preserve">1.21.6</w:t>
      </w:r>
      <w:r>
        <w:tab/>
      </w:r>
      <w:r>
        <w:t xml:space="preserve">20.6 Baseline-isolation tests</w:t>
      </w:r>
    </w:p>
    <w:p>
      <w:pPr>
        <w:pStyle w:val="FirstParagraph"/>
      </w:pPr>
      <w:r>
        <w:t xml:space="preserve">Geothermal-only:</w:t>
      </w:r>
    </w:p>
    <w:p>
      <w:pPr>
        <w:pStyle w:val="Compact"/>
        <w:numPr>
          <w:ilvl w:val="0"/>
          <w:numId w:val="1042"/>
        </w:numPr>
      </w:pPr>
      <w:r>
        <w:t xml:space="preserve">network route/pressure/velocity changes cannot affect geothermal-only rank;</w:t>
      </w:r>
    </w:p>
    <w:p>
      <w:pPr>
        <w:pStyle w:val="Compact"/>
        <w:numPr>
          <w:ilvl w:val="0"/>
          <w:numId w:val="1042"/>
        </w:numPr>
      </w:pPr>
      <w:r>
        <w:t xml:space="preserve">source-side metric excludes connection and DH-network cost terms.</w:t>
      </w:r>
    </w:p>
    <w:p>
      <w:pPr>
        <w:pStyle w:val="FirstParagraph"/>
      </w:pPr>
      <w:r>
        <w:t xml:space="preserve">Network-only:</w:t>
      </w:r>
    </w:p>
    <w:p>
      <w:pPr>
        <w:pStyle w:val="Compact"/>
        <w:numPr>
          <w:ilvl w:val="0"/>
          <w:numId w:val="1043"/>
        </w:numPr>
      </w:pPr>
      <w:r>
        <w:t xml:space="preserve">source scenario/site are identical across all candidates;</w:t>
      </w:r>
    </w:p>
    <w:p>
      <w:pPr>
        <w:pStyle w:val="Compact"/>
        <w:numPr>
          <w:ilvl w:val="0"/>
          <w:numId w:val="1043"/>
        </w:numPr>
      </w:pPr>
      <w:r>
        <w:t xml:space="preserve">changing geothermal CAPEX by the same constant for all network-only candidates does not change their order;</w:t>
      </w:r>
    </w:p>
    <w:p>
      <w:pPr>
        <w:pStyle w:val="Compact"/>
        <w:numPr>
          <w:ilvl w:val="0"/>
          <w:numId w:val="1043"/>
        </w:numPr>
      </w:pPr>
      <w:r>
        <w:t xml:space="preserve">attachment/route/network differences can change the order.</w:t>
      </w:r>
    </w:p>
    <w:p>
      <w:pPr>
        <w:pStyle w:val="FirstParagraph"/>
      </w:pPr>
      <w:r>
        <w:t xml:space="preserve">Integrated:</w:t>
      </w:r>
    </w:p>
    <w:p>
      <w:pPr>
        <w:pStyle w:val="Compact"/>
        <w:numPr>
          <w:ilvl w:val="0"/>
          <w:numId w:val="1044"/>
        </w:numPr>
      </w:pPr>
      <w:r>
        <w:t xml:space="preserve">all compatible alternatives evaluated;</w:t>
      </w:r>
    </w:p>
    <w:p>
      <w:pPr>
        <w:pStyle w:val="Compact"/>
        <w:numPr>
          <w:ilvl w:val="0"/>
          <w:numId w:val="1044"/>
        </w:numPr>
      </w:pPr>
      <w:r>
        <w:t xml:space="preserve">no economics-based pre-curation.</w:t>
      </w:r>
    </w:p>
    <w:bookmarkEnd w:id="83"/>
    <w:bookmarkStart w:id="84" w:name="X1682e232000b910b616cb5f3e11b305b32a0709"/>
    <w:p>
      <w:pPr>
        <w:pStyle w:val="Heading3"/>
      </w:pPr>
      <w:r>
        <w:rPr>
          <w:rStyle w:val="SectionNumber"/>
        </w:rPr>
        <w:t xml:space="preserve">1.21.7</w:t>
      </w:r>
      <w:r>
        <w:tab/>
      </w:r>
      <w:r>
        <w:t xml:space="preserve">20.7 Cross-baseline comparison tests</w:t>
      </w:r>
    </w:p>
    <w:p>
      <w:pPr>
        <w:pStyle w:val="FirstParagraph"/>
      </w:pPr>
      <w:r>
        <w:t xml:space="preserve">Test every interpretation code, including ties and no-feasible cases.</w:t>
      </w:r>
    </w:p>
    <w:bookmarkEnd w:id="84"/>
    <w:bookmarkStart w:id="85" w:name="X85fdc3277f2eb54be49267bfb4c56d068901726"/>
    <w:p>
      <w:pPr>
        <w:pStyle w:val="Heading3"/>
      </w:pPr>
      <w:r>
        <w:rPr>
          <w:rStyle w:val="SectionNumber"/>
        </w:rPr>
        <w:t xml:space="preserve">1.21.8</w:t>
      </w:r>
      <w:r>
        <w:tab/>
      </w:r>
      <w:r>
        <w:t xml:space="preserve">20.8 Sensitivity tests</w:t>
      </w:r>
    </w:p>
    <w:p>
      <w:pPr>
        <w:pStyle w:val="FirstParagraph"/>
      </w:pPr>
      <w:r>
        <w:t xml:space="preserve">Prove:</w:t>
      </w:r>
    </w:p>
    <w:p>
      <w:pPr>
        <w:pStyle w:val="Compact"/>
        <w:numPr>
          <w:ilvl w:val="0"/>
          <w:numId w:val="1045"/>
        </w:numPr>
      </w:pPr>
      <w:r>
        <w:t xml:space="preserve">perturbations do not mutate base fixture objects;</w:t>
      </w:r>
    </w:p>
    <w:p>
      <w:pPr>
        <w:pStyle w:val="Compact"/>
        <w:numPr>
          <w:ilvl w:val="0"/>
          <w:numId w:val="1045"/>
        </w:numPr>
      </w:pPr>
      <w:r>
        <w:t xml:space="preserve">base case exactly reproduces base research run;</w:t>
      </w:r>
    </w:p>
    <w:p>
      <w:pPr>
        <w:pStyle w:val="Compact"/>
        <w:numPr>
          <w:ilvl w:val="0"/>
          <w:numId w:val="1045"/>
        </w:numPr>
      </w:pPr>
      <w:r>
        <w:t xml:space="preserve">each case has a distinct scientific identity;</w:t>
      </w:r>
    </w:p>
    <w:p>
      <w:pPr>
        <w:pStyle w:val="Compact"/>
        <w:numPr>
          <w:ilvl w:val="0"/>
          <w:numId w:val="1045"/>
        </w:numPr>
      </w:pPr>
      <w:r>
        <w:t xml:space="preserve">robustness classification follows set-based rank-1 comparison;</w:t>
      </w:r>
    </w:p>
    <w:p>
      <w:pPr>
        <w:pStyle w:val="Compact"/>
        <w:numPr>
          <w:ilvl w:val="0"/>
          <w:numId w:val="1045"/>
        </w:numPr>
      </w:pPr>
      <w:r>
        <w:t xml:space="preserve">no probabilistic wording is emitted.</w:t>
      </w:r>
    </w:p>
    <w:bookmarkEnd w:id="85"/>
    <w:bookmarkStart w:id="86" w:name="X96ed3ee5e1842462f7d38bf2578c9c5e2501041"/>
    <w:p>
      <w:pPr>
        <w:pStyle w:val="Heading3"/>
      </w:pPr>
      <w:r>
        <w:rPr>
          <w:rStyle w:val="SectionNumber"/>
        </w:rPr>
        <w:t xml:space="preserve">1.21.9</w:t>
      </w:r>
      <w:r>
        <w:tab/>
      </w:r>
      <w:r>
        <w:t xml:space="preserve">20.9 Interface parity tests</w:t>
      </w:r>
    </w:p>
    <w:p>
      <w:pPr>
        <w:pStyle w:val="FirstParagraph"/>
      </w:pPr>
      <w:r>
        <w:t xml:space="preserve">Python, CLI and MCP must produce the same scientific result contract and bundle hash.</w:t>
      </w:r>
    </w:p>
    <w:bookmarkEnd w:id="86"/>
    <w:bookmarkStart w:id="87" w:name="Xb8f210735a879857cc41600552c6a9e7bea8690"/>
    <w:p>
      <w:pPr>
        <w:pStyle w:val="Heading3"/>
      </w:pPr>
      <w:r>
        <w:rPr>
          <w:rStyle w:val="SectionNumber"/>
        </w:rPr>
        <w:t xml:space="preserve">1.21.10</w:t>
      </w:r>
      <w:r>
        <w:tab/>
      </w:r>
      <w:r>
        <w:t xml:space="preserve">20.10 Reproducibility tests</w:t>
      </w:r>
    </w:p>
    <w:p>
      <w:pPr>
        <w:pStyle w:val="FirstParagraph"/>
      </w:pPr>
      <w:r>
        <w:t xml:space="preserve">Two independent research runs must match scientifically on Linux and macOS under supported Python versions.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ce2ff8d15b9fd0ffa41674a8bca45c7c4c88f7d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21. Documentation updates</w:t>
      </w:r>
    </w:p>
    <w:p>
      <w:pPr>
        <w:pStyle w:val="FirstParagraph"/>
      </w:pPr>
      <w:r>
        <w:t xml:space="preserve">After code and tests pass:</w:t>
      </w:r>
    </w:p>
    <w:p>
      <w:pPr>
        <w:pStyle w:val="Compact"/>
        <w:numPr>
          <w:ilvl w:val="0"/>
          <w:numId w:val="1046"/>
        </w:numPr>
      </w:pPr>
      <w:r>
        <w:t xml:space="preserve">Add this specification to</w:t>
      </w:r>
      <w:r>
        <w:t xml:space="preserve"> </w:t>
      </w:r>
      <w:r>
        <w:rPr>
          <w:rStyle w:val="VerbatimChar"/>
        </w:rPr>
        <w:t xml:space="preserve">docs/specifications/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Add a new scope ADR amendment (e.g. D11) stating that v2 is retained and a research-experiment layer now adds annualized load-state evaluation, three baselines, primary LCOH ranking and sensitivity analysis.</w:t>
      </w:r>
    </w:p>
    <w:p>
      <w:pPr>
        <w:pStyle w:val="Compact"/>
        <w:numPr>
          <w:ilvl w:val="0"/>
          <w:numId w:val="104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authority hierarchy so this specification is above the corrected v2 architecture spec for final research-completion questions.</w:t>
      </w:r>
    </w:p>
    <w:p>
      <w:pPr>
        <w:pStyle w:val="Compact"/>
        <w:numPr>
          <w:ilvl w:val="0"/>
          <w:numId w:val="1046"/>
        </w:numPr>
      </w:pPr>
      <w:r>
        <w:t xml:space="preserve">Update README with a concise “Final six-week research experiment” section.</w:t>
      </w:r>
    </w:p>
    <w:p>
      <w:pPr>
        <w:pStyle w:val="Compact"/>
        <w:numPr>
          <w:ilvl w:val="0"/>
          <w:numId w:val="1046"/>
        </w:numPr>
      </w:pPr>
      <w:r>
        <w:t xml:space="preserve">Correct any stale README CI text only after verifying current real CI status.</w:t>
      </w:r>
    </w:p>
    <w:p>
      <w:pPr>
        <w:pStyle w:val="Compact"/>
        <w:numPr>
          <w:ilvl w:val="0"/>
          <w:numId w:val="1046"/>
        </w:numPr>
      </w:pPr>
      <w:r>
        <w:t xml:space="preserve">Extend the traceability matrix; do not rewrite or erase historical rows.</w:t>
      </w:r>
    </w:p>
    <w:p>
      <w:pPr>
        <w:pStyle w:val="Compact"/>
        <w:numPr>
          <w:ilvl w:val="0"/>
          <w:numId w:val="1046"/>
        </w:numPr>
      </w:pPr>
      <w:r>
        <w:t xml:space="preserve">Update acceptance criteria with the new requirement IDs below.</w:t>
      </w:r>
    </w:p>
    <w:p>
      <w:pPr>
        <w:pStyle w:val="Compact"/>
        <w:numPr>
          <w:ilvl w:val="0"/>
          <w:numId w:val="1046"/>
        </w:numPr>
      </w:pPr>
      <w:r>
        <w:t xml:space="preserve">Clearly label old joint v1 as legacy/superseded and v2 as the physical joint baseline.</w:t>
      </w:r>
    </w:p>
    <w:p>
      <w:pPr>
        <w:pStyle w:val="Compact"/>
        <w:numPr>
          <w:ilvl w:val="0"/>
          <w:numId w:val="1046"/>
        </w:numPr>
      </w:pPr>
      <w:r>
        <w:t xml:space="preserve">Keep all real-study limitations visible.</w:t>
      </w:r>
    </w:p>
    <w:p>
      <w:pPr>
        <w:pStyle w:val="FirstParagraph"/>
      </w:pPr>
      <w:r>
        <w:t xml:space="preserve">Do not rewrite historical evidence bundles.</w:t>
      </w:r>
    </w:p>
    <w:p>
      <w:r>
        <w:pict>
          <v:rect style="width:0;height:1.5pt" o:hralign="center" o:hrstd="t" o:hr="t"/>
        </w:pict>
      </w:r>
    </w:p>
    <w:bookmarkEnd w:id="89"/>
    <w:bookmarkStart w:id="99" w:name="X9b1130cae0abfceed2f3872cebb9054aad360aa"/>
    <w:p>
      <w:pPr>
        <w:pStyle w:val="Heading2"/>
      </w:pPr>
      <w:r>
        <w:rPr>
          <w:rStyle w:val="SectionNumber"/>
        </w:rPr>
        <w:t xml:space="preserve">1.23</w:t>
      </w:r>
      <w:r>
        <w:tab/>
      </w:r>
      <w:r>
        <w:t xml:space="preserve">22. Required new requirement IDs</w:t>
      </w:r>
    </w:p>
    <w:bookmarkStart w:id="90" w:name="governance"/>
    <w:p>
      <w:pPr>
        <w:pStyle w:val="Heading3"/>
      </w:pPr>
      <w:r>
        <w:rPr>
          <w:rStyle w:val="SectionNumber"/>
        </w:rPr>
        <w:t xml:space="preserve">1.23.1</w:t>
      </w:r>
      <w:r>
        <w:tab/>
      </w:r>
      <w:r>
        <w:t xml:space="preserve">Governance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RA-GOV-001</w:t>
      </w:r>
      <w:r>
        <w:t xml:space="preserve"> </w:t>
      </w:r>
      <w:r>
        <w:t xml:space="preserve">— work from latest remote v2 baseline; record branch/commit/tree state.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RA-GOV-002</w:t>
      </w:r>
      <w:r>
        <w:t xml:space="preserve"> </w:t>
      </w:r>
      <w:r>
        <w:t xml:space="preserve">— do not alter canonical C1–C4 scientific result.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RA-GOV-003</w:t>
      </w:r>
      <w:r>
        <w:t xml:space="preserve"> </w:t>
      </w:r>
      <w:r>
        <w:t xml:space="preserve">— do not alter existing v2 scientific baseline merely to create research experiment.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RA-GOV-004</w:t>
      </w:r>
      <w:r>
        <w:t xml:space="preserve"> </w:t>
      </w:r>
      <w:r>
        <w:t xml:space="preserve">— no commits/pushes without explicit authorization.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RA-GOV-005</w:t>
      </w:r>
      <w:r>
        <w:t xml:space="preserve"> </w:t>
      </w:r>
      <w:r>
        <w:t xml:space="preserve">— no real-location claim.</w:t>
      </w:r>
    </w:p>
    <w:bookmarkEnd w:id="90"/>
    <w:bookmarkStart w:id="91" w:name="contracts"/>
    <w:p>
      <w:pPr>
        <w:pStyle w:val="Heading3"/>
      </w:pPr>
      <w:r>
        <w:rPr>
          <w:rStyle w:val="SectionNumber"/>
        </w:rPr>
        <w:t xml:space="preserve">1.23.2</w:t>
      </w:r>
      <w:r>
        <w:tab/>
      </w:r>
      <w:r>
        <w:t xml:space="preserve">Contracts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RA-DATA-001</w:t>
      </w:r>
      <w:r>
        <w:t xml:space="preserve"> </w:t>
      </w:r>
      <w:r>
        <w:t xml:space="preserve">— versioned</w:t>
      </w:r>
      <w:r>
        <w:t xml:space="preserve"> </w:t>
      </w:r>
      <w:r>
        <w:rPr>
          <w:rStyle w:val="VerbatimChar"/>
        </w:rPr>
        <w:t xml:space="preserve">ResearchExperimentPackage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RA-DATA-002</w:t>
      </w:r>
      <w:r>
        <w:t xml:space="preserve"> </w:t>
      </w:r>
      <w:r>
        <w:t xml:space="preserve">— typed load states and annual horizon validation.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RA-DATA-003</w:t>
      </w:r>
      <w:r>
        <w:t xml:space="preserve"> </w:t>
      </w:r>
      <w:r>
        <w:t xml:space="preserve">— typed baseline policy.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RA-DATA-004</w:t>
      </w:r>
      <w:r>
        <w:t xml:space="preserve"> </w:t>
      </w:r>
      <w:r>
        <w:t xml:space="preserve">— typed sensitivity cases and provenance.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RA-DATA-005</w:t>
      </w:r>
      <w:r>
        <w:t xml:space="preserve"> </w:t>
      </w:r>
      <w:r>
        <w:t xml:space="preserve">— config-backed materiality and ranking policy.</w:t>
      </w:r>
    </w:p>
    <w:bookmarkEnd w:id="91"/>
    <w:bookmarkStart w:id="92" w:name="load-state-evaluation"/>
    <w:p>
      <w:pPr>
        <w:pStyle w:val="Heading3"/>
      </w:pPr>
      <w:r>
        <w:rPr>
          <w:rStyle w:val="SectionNumber"/>
        </w:rPr>
        <w:t xml:space="preserve">1.23.3</w:t>
      </w:r>
      <w:r>
        <w:tab/>
      </w:r>
      <w:r>
        <w:t xml:space="preserve">Load-state evaluation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RA-LOAD-001</w:t>
      </w:r>
      <w:r>
        <w:t xml:space="preserve"> </w:t>
      </w:r>
      <w:r>
        <w:t xml:space="preserve">— N representative steady-state evaluations per integrated alternative.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RA-LOAD-002</w:t>
      </w:r>
      <w:r>
        <w:t xml:space="preserve"> </w:t>
      </w:r>
      <w:r>
        <w:t xml:space="preserve">— fresh network state per alternative/state.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RA-LOAD-003</w:t>
      </w:r>
      <w:r>
        <w:t xml:space="preserve"> </w:t>
      </w:r>
      <w:r>
        <w:t xml:space="preserve">— demand scaling only through declared multipliers.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RA-LOAD-004</w:t>
      </w:r>
      <w:r>
        <w:t xml:space="preserve"> </w:t>
      </w:r>
      <w:r>
        <w:t xml:space="preserve">— explicit curtailment/shortfall behavior.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RA-LOAD-005</w:t>
      </w:r>
      <w:r>
        <w:t xml:space="preserve"> </w:t>
      </w:r>
      <w:r>
        <w:t xml:space="preserve">— required-state feasibility aggregation.</w:t>
      </w:r>
    </w:p>
    <w:bookmarkEnd w:id="92"/>
    <w:bookmarkStart w:id="93" w:name="economics"/>
    <w:p>
      <w:pPr>
        <w:pStyle w:val="Heading3"/>
      </w:pPr>
      <w:r>
        <w:rPr>
          <w:rStyle w:val="SectionNumber"/>
        </w:rPr>
        <w:t xml:space="preserve">1.23.4</w:t>
      </w:r>
      <w:r>
        <w:tab/>
      </w:r>
      <w:r>
        <w:t xml:space="preserve">Economics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RA-ECON-001</w:t>
      </w:r>
      <w:r>
        <w:t xml:space="preserve"> </w:t>
      </w:r>
      <w:r>
        <w:t xml:space="preserve">— consumer-delivered useful-heat denominator.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RA-ECON-002</w:t>
      </w:r>
      <w:r>
        <w:t xml:space="preserve"> </w:t>
      </w:r>
      <w:r>
        <w:t xml:space="preserve">— state-weighted pumping and auxiliary OPEX.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RA-ECON-003</w:t>
      </w:r>
      <w:r>
        <w:t xml:space="preserve"> </w:t>
      </w:r>
      <w:r>
        <w:t xml:space="preserve">— CAPEX annualized once.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RA-ECON-004</w:t>
      </w:r>
      <w:r>
        <w:t xml:space="preserve"> </w:t>
      </w:r>
      <w:r>
        <w:t xml:space="preserve">— annualized system LCOH.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RA-ECON-005</w:t>
      </w:r>
      <w:r>
        <w:t xml:space="preserve"> </w:t>
      </w:r>
      <w:r>
        <w:t xml:space="preserve">— auditable cost breakdown.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RA-ECON-006</w:t>
      </w:r>
      <w:r>
        <w:t xml:space="preserve"> </w:t>
      </w:r>
      <w:r>
        <w:t xml:space="preserve">— no subtraction of pumping electricity from thermal heat.</w:t>
      </w:r>
    </w:p>
    <w:bookmarkEnd w:id="93"/>
    <w:bookmarkStart w:id="94" w:name="decision"/>
    <w:p>
      <w:pPr>
        <w:pStyle w:val="Heading3"/>
      </w:pPr>
      <w:r>
        <w:rPr>
          <w:rStyle w:val="SectionNumber"/>
        </w:rPr>
        <w:t xml:space="preserve">1.23.5</w:t>
      </w:r>
      <w:r>
        <w:tab/>
      </w:r>
      <w:r>
        <w:t xml:space="preserve">Decision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RA-DEC-001</w:t>
      </w:r>
      <w:r>
        <w:t xml:space="preserve"> </w:t>
      </w:r>
      <w:r>
        <w:t xml:space="preserve">— primary ranking = annualized system LCOH.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RA-DEC-002</w:t>
      </w:r>
      <w:r>
        <w:t xml:space="preserve"> </w:t>
      </w:r>
      <w:r>
        <w:t xml:space="preserve">— materiality-aware shared ranks.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RA-DEC-003</w:t>
      </w:r>
      <w:r>
        <w:t xml:space="preserve"> </w:t>
      </w:r>
      <w:r>
        <w:t xml:space="preserve">— Pareto remains secondary.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RA-DEC-004</w:t>
      </w:r>
      <w:r>
        <w:t xml:space="preserve"> </w:t>
      </w:r>
      <w:r>
        <w:t xml:space="preserve">— unique preferred alternative only when rank 1 unique.</w:t>
      </w:r>
    </w:p>
    <w:bookmarkEnd w:id="94"/>
    <w:bookmarkStart w:id="95" w:name="baselines"/>
    <w:p>
      <w:pPr>
        <w:pStyle w:val="Heading3"/>
      </w:pPr>
      <w:r>
        <w:rPr>
          <w:rStyle w:val="SectionNumber"/>
        </w:rPr>
        <w:t xml:space="preserve">1.23.6</w:t>
      </w:r>
      <w:r>
        <w:tab/>
      </w:r>
      <w:r>
        <w:t xml:space="preserve">Baselines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RA-BASE-001</w:t>
      </w:r>
      <w:r>
        <w:t xml:space="preserve"> </w:t>
      </w:r>
      <w:r>
        <w:t xml:space="preserve">— geothermal-only source-side ranking.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RA-BASE-002</w:t>
      </w:r>
      <w:r>
        <w:t xml:space="preserve"> </w:t>
      </w:r>
      <w:r>
        <w:t xml:space="preserve">— fixed-source network-only ranking.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RA-BASE-003</w:t>
      </w:r>
      <w:r>
        <w:t xml:space="preserve"> </w:t>
      </w:r>
      <w:r>
        <w:t xml:space="preserve">— integrated ranking.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RA-BASE-004</w:t>
      </w:r>
      <w:r>
        <w:t xml:space="preserve"> </w:t>
      </w:r>
      <w:r>
        <w:t xml:space="preserve">— set-based cross-baseline comparison.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RA-BASE-005</w:t>
      </w:r>
      <w:r>
        <w:t xml:space="preserve"> </w:t>
      </w:r>
      <w:r>
        <w:t xml:space="preserve">— deterministic interpretation code.</w:t>
      </w:r>
    </w:p>
    <w:bookmarkEnd w:id="95"/>
    <w:bookmarkStart w:id="96" w:name="sensitivity"/>
    <w:p>
      <w:pPr>
        <w:pStyle w:val="Heading3"/>
      </w:pPr>
      <w:r>
        <w:rPr>
          <w:rStyle w:val="SectionNumber"/>
        </w:rPr>
        <w:t xml:space="preserve">1.23.7</w:t>
      </w:r>
      <w:r>
        <w:tab/>
      </w:r>
      <w:r>
        <w:t xml:space="preserve">Sensitivity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RA-SENS-001</w:t>
      </w:r>
      <w:r>
        <w:t xml:space="preserve"> </w:t>
      </w:r>
      <w:r>
        <w:t xml:space="preserve">— connection-cost sensitivity.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RA-SENS-002</w:t>
      </w:r>
      <w:r>
        <w:t xml:space="preserve"> </w:t>
      </w:r>
      <w:r>
        <w:t xml:space="preserve">— geothermal deliverable-heat derating sensitivity.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RA-SENS-003</w:t>
      </w:r>
      <w:r>
        <w:t xml:space="preserve"> </w:t>
      </w:r>
      <w:r>
        <w:t xml:space="preserve">— tested-range robustness classification.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RA-SENS-004</w:t>
      </w:r>
      <w:r>
        <w:t xml:space="preserve"> </w:t>
      </w:r>
      <w:r>
        <w:t xml:space="preserve">— no probability/exploration-risk claim.</w:t>
      </w:r>
    </w:p>
    <w:bookmarkEnd w:id="96"/>
    <w:bookmarkStart w:id="97" w:name="interfacesartifacts"/>
    <w:p>
      <w:pPr>
        <w:pStyle w:val="Heading3"/>
      </w:pPr>
      <w:r>
        <w:rPr>
          <w:rStyle w:val="SectionNumber"/>
        </w:rPr>
        <w:t xml:space="preserve">1.23.8</w:t>
      </w:r>
      <w:r>
        <w:tab/>
      </w:r>
      <w:r>
        <w:t xml:space="preserve">Interfaces/artifacts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RA-API-001</w:t>
      </w:r>
      <w:r>
        <w:t xml:space="preserve"> </w:t>
      </w:r>
      <w:r>
        <w:t xml:space="preserve">— one Python entry point.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RA-API-002</w:t>
      </w:r>
      <w:r>
        <w:t xml:space="preserve"> </w:t>
      </w:r>
      <w:r>
        <w:t xml:space="preserve">— CLI dispatch.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RA-API-003</w:t>
      </w:r>
      <w:r>
        <w:t xml:space="preserve"> </w:t>
      </w:r>
      <w:r>
        <w:t xml:space="preserve">— existing six-tool MCP dispatch.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RA-ART-001</w:t>
      </w:r>
      <w:r>
        <w:t xml:space="preserve"> </w:t>
      </w:r>
      <w:r>
        <w:t xml:space="preserve">— complete research artifact bundle.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RA-ART-002</w:t>
      </w:r>
      <w:r>
        <w:t xml:space="preserve"> </w:t>
      </w:r>
      <w:r>
        <w:t xml:space="preserve">— deterministic findings report.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RA-ART-003</w:t>
      </w:r>
      <w:r>
        <w:t xml:space="preserve"> </w:t>
      </w:r>
      <w:r>
        <w:t xml:space="preserve">— manifest/scientific hash.</w:t>
      </w:r>
    </w:p>
    <w:bookmarkEnd w:id="97"/>
    <w:bookmarkStart w:id="98" w:name="verification"/>
    <w:p>
      <w:pPr>
        <w:pStyle w:val="Heading3"/>
      </w:pPr>
      <w:r>
        <w:rPr>
          <w:rStyle w:val="SectionNumber"/>
        </w:rPr>
        <w:t xml:space="preserve">1.23.9</w:t>
      </w:r>
      <w:r>
        <w:tab/>
      </w:r>
      <w:r>
        <w:t xml:space="preserve">Verification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RA-TEST-001</w:t>
      </w:r>
      <w:r>
        <w:t xml:space="preserve"> </w:t>
      </w:r>
      <w:r>
        <w:t xml:space="preserve">— all existing tests green.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RA-TEST-002</w:t>
      </w:r>
      <w:r>
        <w:t xml:space="preserve"> </w:t>
      </w:r>
      <w:r>
        <w:t xml:space="preserve">— new contract/load/economics/decision/baseline/sensitivity tests green.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RA-TEST-003</w:t>
      </w:r>
      <w:r>
        <w:t xml:space="preserve"> </w:t>
      </w:r>
      <w:r>
        <w:t xml:space="preserve">— two-run scientific reproducibility.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RA-TEST-004</w:t>
      </w:r>
      <w:r>
        <w:t xml:space="preserve"> </w:t>
      </w:r>
      <w:r>
        <w:t xml:space="preserve">— CLI/MCP/API parity.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RA-TEST-005</w:t>
      </w:r>
      <w:r>
        <w:t xml:space="preserve"> </w:t>
      </w:r>
      <w:r>
        <w:t xml:space="preserve">— supported CI matrix green.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7" w:name="Xc106006ca1abff644f2b7701f037c5c7746b060"/>
    <w:p>
      <w:pPr>
        <w:pStyle w:val="Heading2"/>
      </w:pPr>
      <w:r>
        <w:rPr>
          <w:rStyle w:val="SectionNumber"/>
        </w:rPr>
        <w:t xml:space="preserve">1.24</w:t>
      </w:r>
      <w:r>
        <w:tab/>
      </w:r>
      <w:r>
        <w:t xml:space="preserve">23. Acceptance criteria</w:t>
      </w:r>
    </w:p>
    <w:p>
      <w:pPr>
        <w:pStyle w:val="FirstParagraph"/>
      </w:pPr>
      <w:r>
        <w:t xml:space="preserve">The implementation is accepted only when all of the following are true.</w:t>
      </w:r>
    </w:p>
    <w:bookmarkStart w:id="100" w:name="ac-ra01--historical-baseline-preserved"/>
    <w:p>
      <w:pPr>
        <w:pStyle w:val="Heading3"/>
      </w:pPr>
      <w:r>
        <w:rPr>
          <w:rStyle w:val="SectionNumber"/>
        </w:rPr>
        <w:t xml:space="preserve">1.24.1</w:t>
      </w:r>
      <w:r>
        <w:tab/>
      </w:r>
      <w:r>
        <w:t xml:space="preserve">AC-RA01 — Historical baseline preserved</w:t>
      </w:r>
    </w:p>
    <w:p>
      <w:pPr>
        <w:pStyle w:val="FirstParagraph"/>
      </w:pPr>
      <w:r>
        <w:t xml:space="preserve">Canonical C1–C4 output remains unchanged and its existing regression evidence passes.</w:t>
      </w:r>
    </w:p>
    <w:bookmarkEnd w:id="100"/>
    <w:bookmarkStart w:id="101" w:name="ac-ra02--existing-v2-preserved"/>
    <w:p>
      <w:pPr>
        <w:pStyle w:val="Heading3"/>
      </w:pPr>
      <w:r>
        <w:rPr>
          <w:rStyle w:val="SectionNumber"/>
        </w:rPr>
        <w:t xml:space="preserve">1.24.2</w:t>
      </w:r>
      <w:r>
        <w:tab/>
      </w:r>
      <w:r>
        <w:t xml:space="preserve">AC-RA02 — Existing v2 preserved</w:t>
      </w:r>
    </w:p>
    <w:p>
      <w:pPr>
        <w:pStyle w:val="FirstParagraph"/>
      </w:pPr>
      <w:r>
        <w:t xml:space="preserve">The committed v2 synthetic joint study still runs and retains its scientific result identity unless an explicitly approved, causally explained schema migration is necessary.</w:t>
      </w:r>
    </w:p>
    <w:bookmarkEnd w:id="101"/>
    <w:bookmarkStart w:id="102" w:name="X500f44ac82f8da45ab2f0325bd96a9c64066c95"/>
    <w:p>
      <w:pPr>
        <w:pStyle w:val="Heading3"/>
      </w:pPr>
      <w:r>
        <w:rPr>
          <w:rStyle w:val="SectionNumber"/>
        </w:rPr>
        <w:t xml:space="preserve">1.24.3</w:t>
      </w:r>
      <w:r>
        <w:tab/>
      </w:r>
      <w:r>
        <w:t xml:space="preserve">AC-RA03 — Research package runs in one command</w:t>
      </w:r>
    </w:p>
    <w:p>
      <w:pPr>
        <w:pStyle w:val="FirstParagraph"/>
      </w:pPr>
      <w:r>
        <w:t xml:space="preserve">A committed synthetic research experiment package can be executed from the installed CLI with one command.</w:t>
      </w:r>
    </w:p>
    <w:bookmarkEnd w:id="102"/>
    <w:bookmarkStart w:id="103" w:name="X32291be8f1bdd9a8c2558d9194d4ac79b63141b"/>
    <w:p>
      <w:pPr>
        <w:pStyle w:val="Heading3"/>
      </w:pPr>
      <w:r>
        <w:rPr>
          <w:rStyle w:val="SectionNumber"/>
        </w:rPr>
        <w:t xml:space="preserve">1.24.4</w:t>
      </w:r>
      <w:r>
        <w:tab/>
      </w:r>
      <w:r>
        <w:t xml:space="preserve">AC-RA04 — Three load states actually execute</w:t>
      </w:r>
    </w:p>
    <w:p>
      <w:pPr>
        <w:pStyle w:val="FirstParagraph"/>
      </w:pPr>
      <w:r>
        <w:t xml:space="preserve">The final research fixture evaluates three declared steady-state load conditions per integrated alternative, not merely three labels around one result.</w:t>
      </w:r>
    </w:p>
    <w:bookmarkEnd w:id="103"/>
    <w:bookmarkStart w:id="104" w:name="ac-ra05--annualization-is-correct"/>
    <w:p>
      <w:pPr>
        <w:pStyle w:val="Heading3"/>
      </w:pPr>
      <w:r>
        <w:rPr>
          <w:rStyle w:val="SectionNumber"/>
        </w:rPr>
        <w:t xml:space="preserve">1.24.5</w:t>
      </w:r>
      <w:r>
        <w:tab/>
      </w:r>
      <w:r>
        <w:t xml:space="preserve">AC-RA05 — Annualization is correct</w:t>
      </w:r>
    </w:p>
    <w:p>
      <w:pPr>
        <w:pStyle w:val="FirstParagraph"/>
      </w:pPr>
      <w:r>
        <w:t xml:space="preserve">Useful heat, pumping energy, auxiliary energy and annual cost equal independently recomputed reference values for test fixtures.</w:t>
      </w:r>
    </w:p>
    <w:bookmarkEnd w:id="104"/>
    <w:bookmarkStart w:id="105" w:name="ac-ra06--physics-gates-precede-economics"/>
    <w:p>
      <w:pPr>
        <w:pStyle w:val="Heading3"/>
      </w:pPr>
      <w:r>
        <w:rPr>
          <w:rStyle w:val="SectionNumber"/>
        </w:rPr>
        <w:t xml:space="preserve">1.24.6</w:t>
      </w:r>
      <w:r>
        <w:tab/>
      </w:r>
      <w:r>
        <w:t xml:space="preserve">AC-RA06 — Physics gates precede economics</w:t>
      </w:r>
    </w:p>
    <w:p>
      <w:pPr>
        <w:pStyle w:val="FirstParagraph"/>
      </w:pPr>
      <w:r>
        <w:t xml:space="preserve">An alternative failing a required load state never receives a decision rank and carries exact failure evidence.</w:t>
      </w:r>
    </w:p>
    <w:bookmarkEnd w:id="105"/>
    <w:bookmarkStart w:id="106" w:name="ac-ra07--primary-lcoh-ranking-exists"/>
    <w:p>
      <w:pPr>
        <w:pStyle w:val="Heading3"/>
      </w:pPr>
      <w:r>
        <w:rPr>
          <w:rStyle w:val="SectionNumber"/>
        </w:rPr>
        <w:t xml:space="preserve">1.24.7</w:t>
      </w:r>
      <w:r>
        <w:tab/>
      </w:r>
      <w:r>
        <w:t xml:space="preserve">AC-RA07 — Primary LCOH ranking exists</w:t>
      </w:r>
    </w:p>
    <w:p>
      <w:pPr>
        <w:pStyle w:val="FirstParagraph"/>
      </w:pPr>
      <w:r>
        <w:t xml:space="preserve">Feasible integrated alternatives have materiality-aware rank groups based on annualized system LCOH.</w:t>
      </w:r>
    </w:p>
    <w:bookmarkEnd w:id="106"/>
    <w:bookmarkStart w:id="107" w:name="ac-ra08--pareto-remains-available"/>
    <w:p>
      <w:pPr>
        <w:pStyle w:val="Heading3"/>
      </w:pPr>
      <w:r>
        <w:rPr>
          <w:rStyle w:val="SectionNumber"/>
        </w:rPr>
        <w:t xml:space="preserve">1.24.8</w:t>
      </w:r>
      <w:r>
        <w:tab/>
      </w:r>
      <w:r>
        <w:t xml:space="preserve">AC-RA08 — Pareto remains available</w:t>
      </w:r>
    </w:p>
    <w:p>
      <w:pPr>
        <w:pStyle w:val="FirstParagraph"/>
      </w:pPr>
      <w:r>
        <w:t xml:space="preserve">The same run publishes the secondary materiality-aware Pareto shortlist.</w:t>
      </w:r>
    </w:p>
    <w:bookmarkEnd w:id="107"/>
    <w:bookmarkStart w:id="108" w:name="ac-ra09--three-research-baselines-exist"/>
    <w:p>
      <w:pPr>
        <w:pStyle w:val="Heading3"/>
      </w:pPr>
      <w:r>
        <w:rPr>
          <w:rStyle w:val="SectionNumber"/>
        </w:rPr>
        <w:t xml:space="preserve">1.24.9</w:t>
      </w:r>
      <w:r>
        <w:tab/>
      </w:r>
      <w:r>
        <w:t xml:space="preserve">AC-RA09 — Three research baselines exist</w:t>
      </w:r>
    </w:p>
    <w:p>
      <w:pPr>
        <w:pStyle w:val="FirstParagraph"/>
      </w:pPr>
      <w:r>
        <w:t xml:space="preserve">Geothermal-only, network-only and integrated results are all produced from one research run.</w:t>
      </w:r>
    </w:p>
    <w:bookmarkEnd w:id="108"/>
    <w:bookmarkStart w:id="109" w:name="Xf5cce137f8bf17c96aeb57fb08b2ad2e05ee9d8"/>
    <w:p>
      <w:pPr>
        <w:pStyle w:val="Heading3"/>
      </w:pPr>
      <w:r>
        <w:rPr>
          <w:rStyle w:val="SectionNumber"/>
        </w:rPr>
        <w:t xml:space="preserve">1.24.10</w:t>
      </w:r>
      <w:r>
        <w:tab/>
      </w:r>
      <w:r>
        <w:t xml:space="preserve">AC-RA10 — Research question is answered mechanically</w:t>
      </w:r>
    </w:p>
    <w:p>
      <w:pPr>
        <w:pStyle w:val="FirstParagraph"/>
      </w:pPr>
      <w:r>
        <w:t xml:space="preserve">The result/artifacts state whether the integrated rank-1 site/attachment set matches or differs from each baseline using deterministic interpretation codes.</w:t>
      </w:r>
    </w:p>
    <w:bookmarkEnd w:id="109"/>
    <w:bookmarkStart w:id="110" w:name="ac-ra11--sensitivity-exists"/>
    <w:p>
      <w:pPr>
        <w:pStyle w:val="Heading3"/>
      </w:pPr>
      <w:r>
        <w:rPr>
          <w:rStyle w:val="SectionNumber"/>
        </w:rPr>
        <w:t xml:space="preserve">1.24.11</w:t>
      </w:r>
      <w:r>
        <w:tab/>
      </w:r>
      <w:r>
        <w:t xml:space="preserve">AC-RA11 — Sensitivity exists</w:t>
      </w:r>
    </w:p>
    <w:p>
      <w:pPr>
        <w:pStyle w:val="FirstParagraph"/>
      </w:pPr>
      <w:r>
        <w:t xml:space="preserve">At least one connection-cost and one geothermal-deliverable-heat downside case are executed and compared with base.</w:t>
      </w:r>
    </w:p>
    <w:bookmarkEnd w:id="110"/>
    <w:bookmarkStart w:id="111" w:name="ac-ra12--robustness-wording-is-bounded"/>
    <w:p>
      <w:pPr>
        <w:pStyle w:val="Heading3"/>
      </w:pPr>
      <w:r>
        <w:rPr>
          <w:rStyle w:val="SectionNumber"/>
        </w:rPr>
        <w:t xml:space="preserve">1.24.12</w:t>
      </w:r>
      <w:r>
        <w:tab/>
      </w:r>
      <w:r>
        <w:t xml:space="preserve">AC-RA12 — Robustness wording is bounded</w:t>
      </w:r>
    </w:p>
    <w:p>
      <w:pPr>
        <w:pStyle w:val="FirstParagraph"/>
      </w:pPr>
      <w:r>
        <w:t xml:space="preserve">The report uses “robust over tested range” only when the configured cases support it.</w:t>
      </w:r>
    </w:p>
    <w:bookmarkEnd w:id="111"/>
    <w:bookmarkStart w:id="112" w:name="X0e4b065c49762269220476fc4211f644badcb50"/>
    <w:p>
      <w:pPr>
        <w:pStyle w:val="Heading3"/>
      </w:pPr>
      <w:r>
        <w:rPr>
          <w:rStyle w:val="SectionNumber"/>
        </w:rPr>
        <w:t xml:space="preserve">1.24.13</w:t>
      </w:r>
      <w:r>
        <w:tab/>
      </w:r>
      <w:r>
        <w:t xml:space="preserve">AC-RA13 — Synthetic caveats are unavoidable</w:t>
      </w:r>
    </w:p>
    <w:p>
      <w:pPr>
        <w:pStyle w:val="FirstParagraph"/>
      </w:pPr>
      <w:r>
        <w:t xml:space="preserve">Every user-facing research artifact states that the result is synthetic/indicative and not a real Wuppertal drilling recommendation.</w:t>
      </w:r>
    </w:p>
    <w:bookmarkEnd w:id="112"/>
    <w:bookmarkStart w:id="113" w:name="ac-ra14--api-parity"/>
    <w:p>
      <w:pPr>
        <w:pStyle w:val="Heading3"/>
      </w:pPr>
      <w:r>
        <w:rPr>
          <w:rStyle w:val="SectionNumber"/>
        </w:rPr>
        <w:t xml:space="preserve">1.24.14</w:t>
      </w:r>
      <w:r>
        <w:tab/>
      </w:r>
      <w:r>
        <w:t xml:space="preserve">AC-RA14 — API parity</w:t>
      </w:r>
    </w:p>
    <w:p>
      <w:pPr>
        <w:pStyle w:val="FirstParagraph"/>
      </w:pPr>
      <w:r>
        <w:t xml:space="preserve">Python, CLI and MCP give the same scientific result/hash for the same package.</w:t>
      </w:r>
    </w:p>
    <w:bookmarkEnd w:id="113"/>
    <w:bookmarkStart w:id="114" w:name="ac-ra15--reproducible-bundle"/>
    <w:p>
      <w:pPr>
        <w:pStyle w:val="Heading3"/>
      </w:pPr>
      <w:r>
        <w:rPr>
          <w:rStyle w:val="SectionNumber"/>
        </w:rPr>
        <w:t xml:space="preserve">1.24.15</w:t>
      </w:r>
      <w:r>
        <w:tab/>
      </w:r>
      <w:r>
        <w:t xml:space="preserve">AC-RA15 — Reproducible bundle</w:t>
      </w:r>
    </w:p>
    <w:p>
      <w:pPr>
        <w:pStyle w:val="FirstParagraph"/>
      </w:pPr>
      <w:r>
        <w:t xml:space="preserve">Two independent runs produce the same normalized scientific bundle hash.</w:t>
      </w:r>
    </w:p>
    <w:bookmarkEnd w:id="114"/>
    <w:bookmarkStart w:id="115" w:name="ac-ra16--full-test-and-ci-gates"/>
    <w:p>
      <w:pPr>
        <w:pStyle w:val="Heading3"/>
      </w:pPr>
      <w:r>
        <w:rPr>
          <w:rStyle w:val="SectionNumber"/>
        </w:rPr>
        <w:t xml:space="preserve">1.24.16</w:t>
      </w:r>
      <w:r>
        <w:tab/>
      </w:r>
      <w:r>
        <w:t xml:space="preserve">AC-RA16 — Full test and CI gates</w:t>
      </w:r>
    </w:p>
    <w:p>
      <w:pPr>
        <w:pStyle w:val="FirstParagraph"/>
      </w:pPr>
      <w:r>
        <w:t xml:space="preserve">Offline suite, wheel-install smoke test and required GitHub Actions matrix are green.</w:t>
      </w:r>
    </w:p>
    <w:bookmarkEnd w:id="115"/>
    <w:bookmarkStart w:id="116" w:name="ac-ra17--documentation-reconciled"/>
    <w:p>
      <w:pPr>
        <w:pStyle w:val="Heading3"/>
      </w:pPr>
      <w:r>
        <w:rPr>
          <w:rStyle w:val="SectionNumber"/>
        </w:rPr>
        <w:t xml:space="preserve">1.24.17</w:t>
      </w:r>
      <w:r>
        <w:tab/>
      </w:r>
      <w:r>
        <w:t xml:space="preserve">AC-RA17 — Documentation reconciled</w:t>
      </w:r>
    </w:p>
    <w:p>
      <w:pPr>
        <w:pStyle w:val="FirstParagraph"/>
      </w:pPr>
      <w:r>
        <w:t xml:space="preserve">README, CLAUDE.md, current ADR, acceptance criteria and traceability matrix describe the same implemented status.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8" w:name="Xe0f2b9a34b09a8112c703655fc336c4d04ef48c"/>
    <w:p>
      <w:pPr>
        <w:pStyle w:val="Heading2"/>
      </w:pPr>
      <w:r>
        <w:rPr>
          <w:rStyle w:val="SectionNumber"/>
        </w:rPr>
        <w:t xml:space="preserve">1.25</w:t>
      </w:r>
      <w:r>
        <w:tab/>
      </w:r>
      <w:r>
        <w:t xml:space="preserve">24. Implementation phases and exit gates</w:t>
      </w:r>
    </w:p>
    <w:bookmarkStart w:id="118" w:name="phase-0--read-only-audit"/>
    <w:p>
      <w:pPr>
        <w:pStyle w:val="Heading3"/>
      </w:pPr>
      <w:r>
        <w:rPr>
          <w:rStyle w:val="SectionNumber"/>
        </w:rPr>
        <w:t xml:space="preserve">1.25.1</w:t>
      </w:r>
      <w:r>
        <w:tab/>
      </w:r>
      <w:r>
        <w:t xml:space="preserve">Phase 0 — Read-only audit</w:t>
      </w:r>
    </w:p>
    <w:p>
      <w:pPr>
        <w:pStyle w:val="FirstParagraph"/>
      </w:pPr>
      <w:r>
        <w:t xml:space="preserve">Claude must first report, before editing:</w:t>
      </w:r>
    </w:p>
    <w:p>
      <w:pPr>
        <w:pStyle w:val="Compact"/>
        <w:numPr>
          <w:ilvl w:val="0"/>
          <w:numId w:val="1056"/>
        </w:numPr>
      </w:pPr>
      <w:r>
        <w:t xml:space="preserve">remote branch and exact HEAD;</w:t>
      </w:r>
    </w:p>
    <w:p>
      <w:pPr>
        <w:pStyle w:val="Compact"/>
        <w:numPr>
          <w:ilvl w:val="0"/>
          <w:numId w:val="1056"/>
        </w:numPr>
      </w:pPr>
      <w:r>
        <w:t xml:space="preserve">clean/dirty status;</w:t>
      </w:r>
    </w:p>
    <w:p>
      <w:pPr>
        <w:pStyle w:val="Compact"/>
        <w:numPr>
          <w:ilvl w:val="0"/>
          <w:numId w:val="1056"/>
        </w:numPr>
      </w:pPr>
      <w:r>
        <w:t xml:space="preserve">diff since the commit cited in prior specifications;</w:t>
      </w:r>
    </w:p>
    <w:p>
      <w:pPr>
        <w:pStyle w:val="Compact"/>
        <w:numPr>
          <w:ilvl w:val="0"/>
          <w:numId w:val="1056"/>
        </w:numPr>
      </w:pPr>
      <w:r>
        <w:t xml:space="preserve">relevant modules/contracts/tests;</w:t>
      </w:r>
    </w:p>
    <w:p>
      <w:pPr>
        <w:pStyle w:val="Compact"/>
        <w:numPr>
          <w:ilvl w:val="0"/>
          <w:numId w:val="1056"/>
        </w:numPr>
      </w:pPr>
      <w:r>
        <w:t xml:space="preserve">existing v2 run and test status;</w:t>
      </w:r>
    </w:p>
    <w:p>
      <w:pPr>
        <w:pStyle w:val="Compact"/>
        <w:numPr>
          <w:ilvl w:val="0"/>
          <w:numId w:val="1056"/>
        </w:numPr>
      </w:pPr>
      <w:r>
        <w:t xml:space="preserve">proposed files to modify/add;</w:t>
      </w:r>
    </w:p>
    <w:p>
      <w:pPr>
        <w:pStyle w:val="Compact"/>
        <w:numPr>
          <w:ilvl w:val="0"/>
          <w:numId w:val="1056"/>
        </w:numPr>
      </w:pPr>
      <w:r>
        <w:t xml:space="preserve">any contradiction between this spec and current code.</w:t>
      </w:r>
    </w:p>
    <w:p>
      <w:pPr>
        <w:pStyle w:val="FirstParagraph"/>
      </w:pPr>
      <w:r>
        <w:rPr>
          <w:b/>
          <w:bCs/>
        </w:rPr>
        <w:t xml:space="preserve">Exit gate:</w:t>
      </w:r>
      <w:r>
        <w:t xml:space="preserve"> </w:t>
      </w:r>
      <w:r>
        <w:t xml:space="preserve">user authorizes implementation after audit.</w:t>
      </w:r>
    </w:p>
    <w:bookmarkEnd w:id="118"/>
    <w:bookmarkStart w:id="119" w:name="Xf44141c029e72e13c62b9d2466aa4b002546c33"/>
    <w:p>
      <w:pPr>
        <w:pStyle w:val="Heading3"/>
      </w:pPr>
      <w:r>
        <w:rPr>
          <w:rStyle w:val="SectionNumber"/>
        </w:rPr>
        <w:t xml:space="preserve">1.25.2</w:t>
      </w:r>
      <w:r>
        <w:tab/>
      </w:r>
      <w:r>
        <w:t xml:space="preserve">Phase 1 — Preserve specification and governance</w:t>
      </w:r>
    </w:p>
    <w:p>
      <w:pPr>
        <w:pStyle w:val="Compact"/>
        <w:numPr>
          <w:ilvl w:val="0"/>
          <w:numId w:val="1057"/>
        </w:numPr>
      </w:pPr>
      <w:r>
        <w:t xml:space="preserve">add this spec;</w:t>
      </w:r>
    </w:p>
    <w:p>
      <w:pPr>
        <w:pStyle w:val="Compact"/>
        <w:numPr>
          <w:ilvl w:val="0"/>
          <w:numId w:val="1057"/>
        </w:numPr>
      </w:pPr>
      <w:r>
        <w:t xml:space="preserve">add new ADR amendment placeholder/decision entry;</w:t>
      </w:r>
    </w:p>
    <w:p>
      <w:pPr>
        <w:pStyle w:val="Compact"/>
        <w:numPr>
          <w:ilvl w:val="0"/>
          <w:numId w:val="1057"/>
        </w:numPr>
      </w:pPr>
      <w:r>
        <w:t xml:space="preserve">do not yet claim implementation complete.</w:t>
      </w:r>
    </w:p>
    <w:p>
      <w:pPr>
        <w:pStyle w:val="FirstParagraph"/>
      </w:pPr>
      <w:r>
        <w:rPr>
          <w:b/>
          <w:bCs/>
        </w:rPr>
        <w:t xml:space="preserve">Exit gate:</w:t>
      </w:r>
      <w:r>
        <w:t xml:space="preserve"> </w:t>
      </w:r>
      <w:r>
        <w:t xml:space="preserve">no scientific code changes; existing suite unchanged.</w:t>
      </w:r>
    </w:p>
    <w:bookmarkEnd w:id="119"/>
    <w:bookmarkStart w:id="120" w:name="phase-2--research-contracts"/>
    <w:p>
      <w:pPr>
        <w:pStyle w:val="Heading3"/>
      </w:pPr>
      <w:r>
        <w:rPr>
          <w:rStyle w:val="SectionNumber"/>
        </w:rPr>
        <w:t xml:space="preserve">1.25.3</w:t>
      </w:r>
      <w:r>
        <w:tab/>
      </w:r>
      <w:r>
        <w:t xml:space="preserve">Phase 2 — Research contracts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ResearchExperimentPackage</w:t>
      </w:r>
      <w:r>
        <w:t xml:space="preserve">, load states, baseline policy, annualization policy and sensitivity policy.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contract tests green; invalid packages fail with typed errors.</w:t>
      </w:r>
    </w:p>
    <w:bookmarkEnd w:id="120"/>
    <w:bookmarkStart w:id="121" w:name="phase-3--multi-load-state-evaluation"/>
    <w:p>
      <w:pPr>
        <w:pStyle w:val="Heading3"/>
      </w:pPr>
      <w:r>
        <w:rPr>
          <w:rStyle w:val="SectionNumber"/>
        </w:rPr>
        <w:t xml:space="preserve">1.25.4</w:t>
      </w:r>
      <w:r>
        <w:tab/>
      </w:r>
      <w:r>
        <w:t xml:space="preserve">Phase 3 — Multi-load-state evaluation</w:t>
      </w:r>
    </w:p>
    <w:p>
      <w:pPr>
        <w:pStyle w:val="FirstParagraph"/>
      </w:pPr>
      <w:r>
        <w:t xml:space="preserve">Implement deterministic demand scaling, per-state evaluation, curtailment/shortfall audit and annual feasibility aggregation.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state-level tests and deliberate failure cases green.</w:t>
      </w:r>
    </w:p>
    <w:bookmarkEnd w:id="121"/>
    <w:bookmarkStart w:id="122" w:name="phase-4--annualized-economics"/>
    <w:p>
      <w:pPr>
        <w:pStyle w:val="Heading3"/>
      </w:pPr>
      <w:r>
        <w:rPr>
          <w:rStyle w:val="SectionNumber"/>
        </w:rPr>
        <w:t xml:space="preserve">1.25.5</w:t>
      </w:r>
      <w:r>
        <w:tab/>
      </w:r>
      <w:r>
        <w:t xml:space="preserve">Phase 4 — Annualized economics</w:t>
      </w:r>
    </w:p>
    <w:p>
      <w:pPr>
        <w:pStyle w:val="FirstParagraph"/>
      </w:pPr>
      <w:r>
        <w:t xml:space="preserve">Implement state-weighted useful heat and variable OPEX while reusing existing annuity/cost formulas. Ensure CAPEX counted once.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independent numeric reference tests green.</w:t>
      </w:r>
    </w:p>
    <w:bookmarkEnd w:id="122"/>
    <w:bookmarkStart w:id="123" w:name="phase-5--primary-research-decision"/>
    <w:p>
      <w:pPr>
        <w:pStyle w:val="Heading3"/>
      </w:pPr>
      <w:r>
        <w:rPr>
          <w:rStyle w:val="SectionNumber"/>
        </w:rPr>
        <w:t xml:space="preserve">1.25.6</w:t>
      </w:r>
      <w:r>
        <w:tab/>
      </w:r>
      <w:r>
        <w:t xml:space="preserve">Phase 5 — Primary research decision</w:t>
      </w:r>
    </w:p>
    <w:p>
      <w:pPr>
        <w:pStyle w:val="FirstParagraph"/>
      </w:pPr>
      <w:r>
        <w:t xml:space="preserve">Wire annualized LCOH into existing primary-objective ranking while retaining Pareto.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materiality/tie/preferred-ID tests green.</w:t>
      </w:r>
    </w:p>
    <w:bookmarkEnd w:id="123"/>
    <w:bookmarkStart w:id="124" w:name="Xf540a393deae343923e15cb00b1b27950ac7a69"/>
    <w:p>
      <w:pPr>
        <w:pStyle w:val="Heading3"/>
      </w:pPr>
      <w:r>
        <w:rPr>
          <w:rStyle w:val="SectionNumber"/>
        </w:rPr>
        <w:t xml:space="preserve">1.25.7</w:t>
      </w:r>
      <w:r>
        <w:tab/>
      </w:r>
      <w:r>
        <w:t xml:space="preserve">Phase 6 — Three baselines and research comparison</w:t>
      </w:r>
    </w:p>
    <w:p>
      <w:pPr>
        <w:pStyle w:val="FirstParagraph"/>
      </w:pPr>
      <w:r>
        <w:t xml:space="preserve">Implement geothermal-only, network-only, integrated results and deterministic comparison codes.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isolation and comparison tests green.</w:t>
      </w:r>
    </w:p>
    <w:bookmarkEnd w:id="124"/>
    <w:bookmarkStart w:id="125" w:name="phase-7--sensitivity-and-robustness"/>
    <w:p>
      <w:pPr>
        <w:pStyle w:val="Heading3"/>
      </w:pPr>
      <w:r>
        <w:rPr>
          <w:rStyle w:val="SectionNumber"/>
        </w:rPr>
        <w:t xml:space="preserve">1.25.8</w:t>
      </w:r>
      <w:r>
        <w:tab/>
      </w:r>
      <w:r>
        <w:t xml:space="preserve">Phase 7 — Sensitivity and robustness</w:t>
      </w:r>
    </w:p>
    <w:p>
      <w:pPr>
        <w:pStyle w:val="FirstParagraph"/>
      </w:pPr>
      <w:r>
        <w:t xml:space="preserve">Implement configured cases, immutable base inputs and bounded robustness classification.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sensitivity tests and findings fields green.</w:t>
      </w:r>
    </w:p>
    <w:bookmarkEnd w:id="125"/>
    <w:bookmarkStart w:id="126" w:name="phase-8--climcpartifacts"/>
    <w:p>
      <w:pPr>
        <w:pStyle w:val="Heading3"/>
      </w:pPr>
      <w:r>
        <w:rPr>
          <w:rStyle w:val="SectionNumber"/>
        </w:rPr>
        <w:t xml:space="preserve">1.25.9</w:t>
      </w:r>
      <w:r>
        <w:tab/>
      </w:r>
      <w:r>
        <w:t xml:space="preserve">Phase 8 — CLI/MCP/artifacts</w:t>
      </w:r>
    </w:p>
    <w:p>
      <w:pPr>
        <w:pStyle w:val="FirstParagraph"/>
      </w:pPr>
      <w:r>
        <w:t xml:space="preserve">Add workflow dispatch without new MCP tools; publish required artifact bundle and manifests.</w:t>
      </w:r>
    </w:p>
    <w:p>
      <w:pPr>
        <w:pStyle w:val="BodyText"/>
      </w:pPr>
      <w:r>
        <w:rPr>
          <w:b/>
          <w:bCs/>
        </w:rPr>
        <w:t xml:space="preserve">Exit gate:</w:t>
      </w:r>
      <w:r>
        <w:t xml:space="preserve"> </w:t>
      </w:r>
      <w:r>
        <w:t xml:space="preserve">API/CLI/MCP parity and two-run hash reproducibility green.</w:t>
      </w:r>
    </w:p>
    <w:bookmarkEnd w:id="126"/>
    <w:bookmarkStart w:id="127" w:name="Xeffb9234daae1e8f30abeaa8b3ce7503c7ff81d"/>
    <w:p>
      <w:pPr>
        <w:pStyle w:val="Heading3"/>
      </w:pPr>
      <w:r>
        <w:rPr>
          <w:rStyle w:val="SectionNumber"/>
        </w:rPr>
        <w:t xml:space="preserve">1.25.10</w:t>
      </w:r>
      <w:r>
        <w:tab/>
      </w:r>
      <w:r>
        <w:t xml:space="preserve">Phase 9 — Documentation reconciliation and release verification</w:t>
      </w:r>
    </w:p>
    <w:p>
      <w:pPr>
        <w:pStyle w:val="Compact"/>
        <w:numPr>
          <w:ilvl w:val="0"/>
          <w:numId w:val="1058"/>
        </w:numPr>
      </w:pPr>
      <w:r>
        <w:t xml:space="preserve">update README/CLAUDE/ADR/acceptance/traceability;</w:t>
      </w:r>
    </w:p>
    <w:p>
      <w:pPr>
        <w:pStyle w:val="Compact"/>
        <w:numPr>
          <w:ilvl w:val="0"/>
          <w:numId w:val="1058"/>
        </w:numPr>
      </w:pPr>
      <w:r>
        <w:t xml:space="preserve">run complete offline test suite;</w:t>
      </w:r>
    </w:p>
    <w:p>
      <w:pPr>
        <w:pStyle w:val="Compact"/>
        <w:numPr>
          <w:ilvl w:val="0"/>
          <w:numId w:val="1058"/>
        </w:numPr>
      </w:pPr>
      <w:r>
        <w:t xml:space="preserve">build/install wheel smoke test;</w:t>
      </w:r>
    </w:p>
    <w:p>
      <w:pPr>
        <w:pStyle w:val="Compact"/>
        <w:numPr>
          <w:ilvl w:val="0"/>
          <w:numId w:val="1058"/>
        </w:numPr>
      </w:pPr>
      <w:r>
        <w:t xml:space="preserve">run real CI matrix;</w:t>
      </w:r>
    </w:p>
    <w:p>
      <w:pPr>
        <w:pStyle w:val="Compact"/>
        <w:numPr>
          <w:ilvl w:val="0"/>
          <w:numId w:val="1058"/>
        </w:numPr>
      </w:pPr>
      <w:r>
        <w:t xml:space="preserve">verify artifacts from a clean install.</w:t>
      </w:r>
    </w:p>
    <w:p>
      <w:pPr>
        <w:pStyle w:val="FirstParagraph"/>
      </w:pPr>
      <w:r>
        <w:rPr>
          <w:b/>
          <w:bCs/>
        </w:rPr>
        <w:t xml:space="preserve">Exit gate:</w:t>
      </w:r>
      <w:r>
        <w:t xml:space="preserve"> </w:t>
      </w:r>
      <w:r>
        <w:t xml:space="preserve">AC-RA01 through AC-RA17 all PASS; no hidden PARTIAL collapsed into PASS.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X1e49be3f129cff8c558c6ab24c9a05e2c2e1f28"/>
    <w:p>
      <w:pPr>
        <w:pStyle w:val="Heading2"/>
      </w:pPr>
      <w:r>
        <w:rPr>
          <w:rStyle w:val="SectionNumber"/>
        </w:rPr>
        <w:t xml:space="preserve">1.26</w:t>
      </w:r>
      <w:r>
        <w:tab/>
      </w:r>
      <w:r>
        <w:t xml:space="preserve">25. Files expected to change or be added</w:t>
      </w:r>
    </w:p>
    <w:p>
      <w:pPr>
        <w:pStyle w:val="FirstParagraph"/>
      </w:pPr>
      <w:r>
        <w:t xml:space="preserve">Claude must audit current names first, but the expected surface is:</w:t>
      </w:r>
    </w:p>
    <w:bookmarkStart w:id="129" w:name="new"/>
    <w:p>
      <w:pPr>
        <w:pStyle w:val="Heading3"/>
      </w:pPr>
      <w:r>
        <w:rPr>
          <w:rStyle w:val="SectionNumber"/>
        </w:rPr>
        <w:t xml:space="preserve">1.26.1</w:t>
      </w:r>
      <w:r>
        <w:tab/>
      </w:r>
      <w:r>
        <w:t xml:space="preserve">New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docs/specifications/R3CHAIN_FINAL_RESEARCH_ALIGNMENT_IMPLEMENTATION_SPEC.md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src/r3chain_geothermal/data_contracts/research_experiment.py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src/r3chain_geothermal/workflow/research_experiment.py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src/r3chain_geothermal/workflow/research_baselines.py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src/r3chain_geothermal/workflow/load_state_evaluation.py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src/r3chain_geothermal/economics/annualized_system_costing.py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src/r3chain_geothermal/decision/research_comparison.py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src/r3chain_geothermal/workflow/research_experiment_export.py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config/research_experiment_synthetic.json</w:t>
      </w:r>
    </w:p>
    <w:p>
      <w:pPr>
        <w:pStyle w:val="Compact"/>
        <w:numPr>
          <w:ilvl w:val="0"/>
          <w:numId w:val="1059"/>
        </w:numPr>
      </w:pPr>
      <w:r>
        <w:t xml:space="preserve">focused tests matching each module.</w:t>
      </w:r>
    </w:p>
    <w:bookmarkEnd w:id="129"/>
    <w:bookmarkStart w:id="130" w:name="likely-extensions"/>
    <w:p>
      <w:pPr>
        <w:pStyle w:val="Heading3"/>
      </w:pPr>
      <w:r>
        <w:rPr>
          <w:rStyle w:val="SectionNumber"/>
        </w:rPr>
        <w:t xml:space="preserve">1.26.2</w:t>
      </w:r>
      <w:r>
        <w:tab/>
      </w:r>
      <w:r>
        <w:t xml:space="preserve">Likely extensions</w:t>
      </w:r>
    </w:p>
    <w:p>
      <w:pPr>
        <w:pStyle w:val="Compact"/>
        <w:numPr>
          <w:ilvl w:val="0"/>
          <w:numId w:val="1060"/>
        </w:numPr>
      </w:pPr>
      <w:r>
        <w:t xml:space="preserve">workflow CLI dispatch;</w:t>
      </w:r>
    </w:p>
    <w:p>
      <w:pPr>
        <w:pStyle w:val="Compact"/>
        <w:numPr>
          <w:ilvl w:val="0"/>
          <w:numId w:val="1060"/>
        </w:numPr>
      </w:pPr>
      <w:r>
        <w:t xml:space="preserve">MCP workflow-mode union/response contract;</w:t>
      </w:r>
    </w:p>
    <w:p>
      <w:pPr>
        <w:pStyle w:val="Compact"/>
        <w:numPr>
          <w:ilvl w:val="0"/>
          <w:numId w:val="1060"/>
        </w:numPr>
      </w:pPr>
      <w:r>
        <w:t xml:space="preserve">persistent run registry type union;</w:t>
      </w:r>
    </w:p>
    <w:p>
      <w:pPr>
        <w:pStyle w:val="Compact"/>
        <w:numPr>
          <w:ilvl w:val="0"/>
          <w:numId w:val="1060"/>
        </w:numPr>
      </w:pPr>
      <w:r>
        <w:t xml:space="preserve">objective extractor registry if annualized LCOH uses a new field name;</w:t>
      </w:r>
    </w:p>
    <w:p>
      <w:pPr>
        <w:pStyle w:val="Compact"/>
        <w:numPr>
          <w:ilvl w:val="0"/>
          <w:numId w:val="1060"/>
        </w:numPr>
      </w:pPr>
      <w:r>
        <w:t xml:space="preserve">README;</w:t>
      </w:r>
    </w:p>
    <w:p>
      <w:pPr>
        <w:pStyle w:val="Compact"/>
        <w:numPr>
          <w:ilvl w:val="0"/>
          <w:numId w:val="1060"/>
        </w:numPr>
      </w:pPr>
      <w:r>
        <w:t xml:space="preserve">CLAUDE.md;</w:t>
      </w:r>
    </w:p>
    <w:p>
      <w:pPr>
        <w:pStyle w:val="Compact"/>
        <w:numPr>
          <w:ilvl w:val="0"/>
          <w:numId w:val="1060"/>
        </w:numPr>
      </w:pPr>
      <w:r>
        <w:t xml:space="preserve">ADR-001 scope decision or a new ADR;</w:t>
      </w:r>
    </w:p>
    <w:p>
      <w:pPr>
        <w:pStyle w:val="Compact"/>
        <w:numPr>
          <w:ilvl w:val="0"/>
          <w:numId w:val="1060"/>
        </w:numPr>
      </w:pPr>
      <w:r>
        <w:t xml:space="preserve">acceptance criteria;</w:t>
      </w:r>
    </w:p>
    <w:p>
      <w:pPr>
        <w:pStyle w:val="Compact"/>
        <w:numPr>
          <w:ilvl w:val="0"/>
          <w:numId w:val="1060"/>
        </w:numPr>
      </w:pPr>
      <w:r>
        <w:t xml:space="preserve">traceability matrix.</w:t>
      </w:r>
    </w:p>
    <w:bookmarkEnd w:id="130"/>
    <w:bookmarkStart w:id="131" w:name="X23dfd2733f57fedbaca5676ba0cfe37a0b4dacc"/>
    <w:p>
      <w:pPr>
        <w:pStyle w:val="Heading3"/>
      </w:pPr>
      <w:r>
        <w:rPr>
          <w:rStyle w:val="SectionNumber"/>
        </w:rPr>
        <w:t xml:space="preserve">1.26.3</w:t>
      </w:r>
      <w:r>
        <w:tab/>
      </w:r>
      <w:r>
        <w:t xml:space="preserve">Must remain unchanged unless strictly required</w:t>
      </w:r>
    </w:p>
    <w:p>
      <w:pPr>
        <w:pStyle w:val="Compact"/>
        <w:numPr>
          <w:ilvl w:val="0"/>
          <w:numId w:val="1061"/>
        </w:numPr>
      </w:pPr>
      <w:r>
        <w:t xml:space="preserve">canonical</w:t>
      </w:r>
      <w:r>
        <w:t xml:space="preserve"> </w:t>
      </w:r>
      <w:r>
        <w:rPr>
          <w:rStyle w:val="VerbatimChar"/>
        </w:rPr>
        <w:t xml:space="preserve">config/demo_assumptions.json</w:t>
      </w:r>
      <w:r>
        <w:t xml:space="preserve"> </w:t>
      </w:r>
      <w:r>
        <w:t xml:space="preserve">bytes;</w:t>
      </w:r>
    </w:p>
    <w:p>
      <w:pPr>
        <w:pStyle w:val="Compact"/>
        <w:numPr>
          <w:ilvl w:val="0"/>
          <w:numId w:val="1061"/>
        </w:numPr>
      </w:pPr>
      <w:r>
        <w:t xml:space="preserve">canonical C1–C4 expected run identity/KPIs;</w:t>
      </w:r>
    </w:p>
    <w:p>
      <w:pPr>
        <w:pStyle w:val="Compact"/>
        <w:numPr>
          <w:ilvl w:val="0"/>
          <w:numId w:val="1061"/>
        </w:numPr>
      </w:pPr>
      <w:r>
        <w:t xml:space="preserve">historical evidence bundles;</w:t>
      </w:r>
    </w:p>
    <w:p>
      <w:pPr>
        <w:pStyle w:val="Compact"/>
        <w:numPr>
          <w:ilvl w:val="0"/>
          <w:numId w:val="1061"/>
        </w:numPr>
      </w:pPr>
      <w:r>
        <w:t xml:space="preserve">v1 behavior except documentation labels;</w:t>
      </w:r>
    </w:p>
    <w:p>
      <w:pPr>
        <w:pStyle w:val="Compact"/>
        <w:numPr>
          <w:ilvl w:val="0"/>
          <w:numId w:val="1061"/>
        </w:numPr>
      </w:pPr>
      <w:r>
        <w:t xml:space="preserve">v2</w:t>
      </w:r>
      <w:r>
        <w:t xml:space="preserve"> </w:t>
      </w:r>
      <w:r>
        <w:rPr>
          <w:rStyle w:val="VerbatimChar"/>
        </w:rPr>
        <w:t xml:space="preserve">joint_study_synthetic_v2.json</w:t>
      </w:r>
      <w:r>
        <w:t xml:space="preserve"> </w:t>
      </w:r>
      <w:r>
        <w:t xml:space="preserve">scientific content (prefer a new research wrapper/package rather than mutating it).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X3146f063478f3b156b9dd665745fcb6c510f255"/>
    <w:p>
      <w:pPr>
        <w:pStyle w:val="Heading2"/>
      </w:pPr>
      <w:r>
        <w:rPr>
          <w:rStyle w:val="SectionNumber"/>
        </w:rPr>
        <w:t xml:space="preserve">1.27</w:t>
      </w:r>
      <w:r>
        <w:tab/>
      </w:r>
      <w:r>
        <w:t xml:space="preserve">26. Design decisions that require no further user clarification</w:t>
      </w:r>
    </w:p>
    <w:p>
      <w:pPr>
        <w:pStyle w:val="FirstParagraph"/>
      </w:pPr>
      <w:r>
        <w:t xml:space="preserve">Claude shall proceed with these decisions unless current code makes them impossible:</w:t>
      </w:r>
    </w:p>
    <w:p>
      <w:pPr>
        <w:pStyle w:val="Compact"/>
        <w:numPr>
          <w:ilvl w:val="0"/>
          <w:numId w:val="1062"/>
        </w:numPr>
      </w:pPr>
      <w:r>
        <w:t xml:space="preserve">keep existing v2 as authoritative physical joint evaluation;</w:t>
      </w:r>
    </w:p>
    <w:p>
      <w:pPr>
        <w:pStyle w:val="Compact"/>
        <w:numPr>
          <w:ilvl w:val="0"/>
          <w:numId w:val="1062"/>
        </w:numPr>
      </w:pPr>
      <w:r>
        <w:t xml:space="preserve">add a higher research-experiment layer instead of redesigning v2;</w:t>
      </w:r>
    </w:p>
    <w:p>
      <w:pPr>
        <w:pStyle w:val="Compact"/>
        <w:numPr>
          <w:ilvl w:val="0"/>
          <w:numId w:val="1062"/>
        </w:numPr>
      </w:pPr>
      <w:r>
        <w:t xml:space="preserve">use exhaustive compatible enumeration for the synthetic search space;</w:t>
      </w:r>
    </w:p>
    <w:p>
      <w:pPr>
        <w:pStyle w:val="Compact"/>
        <w:numPr>
          <w:ilvl w:val="0"/>
          <w:numId w:val="1062"/>
        </w:numPr>
      </w:pPr>
      <w:r>
        <w:t xml:space="preserve">use three representative steady states, not transient simulation;</w:t>
      </w:r>
    </w:p>
    <w:p>
      <w:pPr>
        <w:pStyle w:val="Compact"/>
        <w:numPr>
          <w:ilvl w:val="0"/>
          <w:numId w:val="1062"/>
        </w:numPr>
      </w:pPr>
      <w:r>
        <w:t xml:space="preserve">rank integrated feasible alternatives primarily by annualized system LCOH;</w:t>
      </w:r>
    </w:p>
    <w:p>
      <w:pPr>
        <w:pStyle w:val="Compact"/>
        <w:numPr>
          <w:ilvl w:val="0"/>
          <w:numId w:val="1062"/>
        </w:numPr>
      </w:pPr>
      <w:r>
        <w:t xml:space="preserve">preserve Pareto analysis as secondary;</w:t>
      </w:r>
    </w:p>
    <w:p>
      <w:pPr>
        <w:pStyle w:val="Compact"/>
        <w:numPr>
          <w:ilvl w:val="0"/>
          <w:numId w:val="1062"/>
        </w:numPr>
      </w:pPr>
      <w:r>
        <w:t xml:space="preserve">allow shared rank within materiality;</w:t>
      </w:r>
    </w:p>
    <w:p>
      <w:pPr>
        <w:pStyle w:val="Compact"/>
        <w:numPr>
          <w:ilvl w:val="0"/>
          <w:numId w:val="1062"/>
        </w:numPr>
      </w:pPr>
      <w:r>
        <w:t xml:space="preserve">use no scientific tie-breakers unless later approved;</w:t>
      </w:r>
    </w:p>
    <w:p>
      <w:pPr>
        <w:pStyle w:val="Compact"/>
        <w:numPr>
          <w:ilvl w:val="0"/>
          <w:numId w:val="1062"/>
        </w:numPr>
      </w:pPr>
      <w:r>
        <w:t xml:space="preserve">compare rank-1</w:t>
      </w:r>
      <w:r>
        <w:t xml:space="preserve"> </w:t>
      </w:r>
      <w:r>
        <w:rPr>
          <w:b/>
          <w:bCs/>
        </w:rPr>
        <w:t xml:space="preserve">sets</w:t>
      </w:r>
      <w:r>
        <w:t xml:space="preserve"> </w:t>
      </w:r>
      <w:r>
        <w:t xml:space="preserve">when ties exist;</w:t>
      </w:r>
    </w:p>
    <w:p>
      <w:pPr>
        <w:pStyle w:val="Compact"/>
        <w:numPr>
          <w:ilvl w:val="0"/>
          <w:numId w:val="1062"/>
        </w:numPr>
      </w:pPr>
      <w:r>
        <w:t xml:space="preserve">use useful thermal heat delivered to consumers as system-LCOH denominator;</w:t>
      </w:r>
    </w:p>
    <w:p>
      <w:pPr>
        <w:pStyle w:val="Compact"/>
        <w:numPr>
          <w:ilvl w:val="0"/>
          <w:numId w:val="1062"/>
        </w:numPr>
      </w:pPr>
      <w:r>
        <w:t xml:space="preserve">include pumping electricity in OPEX, not in the heat denominator;</w:t>
      </w:r>
    </w:p>
    <w:p>
      <w:pPr>
        <w:pStyle w:val="Compact"/>
        <w:numPr>
          <w:ilvl w:val="0"/>
          <w:numId w:val="1062"/>
        </w:numPr>
      </w:pPr>
      <w:r>
        <w:t xml:space="preserve">sensitivity is deterministic, not probabilistic;</w:t>
      </w:r>
    </w:p>
    <w:p>
      <w:pPr>
        <w:pStyle w:val="Compact"/>
        <w:numPr>
          <w:ilvl w:val="0"/>
          <w:numId w:val="1062"/>
        </w:numPr>
      </w:pPr>
      <w:r>
        <w:t xml:space="preserve">MCP/LLM orchestration remains non-authoritative for physics and decisions;</w:t>
      </w:r>
    </w:p>
    <w:p>
      <w:pPr>
        <w:pStyle w:val="Compact"/>
        <w:numPr>
          <w:ilvl w:val="0"/>
          <w:numId w:val="1062"/>
        </w:numPr>
      </w:pPr>
      <w:r>
        <w:t xml:space="preserve">no real-location claim.</w:t>
      </w:r>
    </w:p>
    <w:p>
      <w:r>
        <w:pict>
          <v:rect style="width:0;height:1.5pt" o:hralign="center" o:hrstd="t" o:hr="t"/>
        </w:pict>
      </w:r>
    </w:p>
    <w:bookmarkEnd w:id="133"/>
    <w:bookmarkStart w:id="134" w:name="Xf53816520e485768f09a3bfaacb1837d03e49d8"/>
    <w:p>
      <w:pPr>
        <w:pStyle w:val="Heading2"/>
      </w:pPr>
      <w:r>
        <w:rPr>
          <w:rStyle w:val="SectionNumber"/>
        </w:rPr>
        <w:t xml:space="preserve">1.28</w:t>
      </w:r>
      <w:r>
        <w:tab/>
      </w:r>
      <w:r>
        <w:t xml:space="preserve">27. Items that must be surfaced if not already approved</w:t>
      </w:r>
    </w:p>
    <w:p>
      <w:pPr>
        <w:pStyle w:val="FirstParagraph"/>
      </w:pPr>
      <w:r>
        <w:t xml:space="preserve">Claude shall not invent values for these if the repository/final research specification does not already contain approved values:</w:t>
      </w:r>
    </w:p>
    <w:p>
      <w:pPr>
        <w:pStyle w:val="Compact"/>
        <w:numPr>
          <w:ilvl w:val="0"/>
          <w:numId w:val="1063"/>
        </w:numPr>
      </w:pPr>
      <w:r>
        <w:t xml:space="preserve">exact three load-state demand multipliers;</w:t>
      </w:r>
    </w:p>
    <w:p>
      <w:pPr>
        <w:pStyle w:val="Compact"/>
        <w:numPr>
          <w:ilvl w:val="0"/>
          <w:numId w:val="1063"/>
        </w:numPr>
      </w:pPr>
      <w:r>
        <w:t xml:space="preserve">exact hours/year for each load state;</w:t>
      </w:r>
    </w:p>
    <w:p>
      <w:pPr>
        <w:pStyle w:val="Compact"/>
        <w:numPr>
          <w:ilvl w:val="0"/>
          <w:numId w:val="1063"/>
        </w:numPr>
      </w:pPr>
      <w:r>
        <w:t xml:space="preserve">final materiality thresholds for the new annualized LCOH field if different from current v2 values;</w:t>
      </w:r>
    </w:p>
    <w:p>
      <w:pPr>
        <w:pStyle w:val="Compact"/>
        <w:numPr>
          <w:ilvl w:val="0"/>
          <w:numId w:val="1063"/>
        </w:numPr>
      </w:pPr>
      <w:r>
        <w:t xml:space="preserve">exact sensitivity factor ranges if not explicitly approved;</w:t>
      </w:r>
    </w:p>
    <w:p>
      <w:pPr>
        <w:pStyle w:val="Compact"/>
        <w:numPr>
          <w:ilvl w:val="0"/>
          <w:numId w:val="1063"/>
        </w:numPr>
      </w:pPr>
      <w:r>
        <w:t xml:space="preserve">any new engineering pressure/velocity/temperature thresholds;</w:t>
      </w:r>
    </w:p>
    <w:p>
      <w:pPr>
        <w:pStyle w:val="Compact"/>
        <w:numPr>
          <w:ilvl w:val="0"/>
          <w:numId w:val="1063"/>
        </w:numPr>
      </w:pPr>
      <w:r>
        <w:t xml:space="preserve">any new cost source, price year or currency;</w:t>
      </w:r>
    </w:p>
    <w:p>
      <w:pPr>
        <w:pStyle w:val="Compact"/>
        <w:numPr>
          <w:ilvl w:val="0"/>
          <w:numId w:val="1063"/>
        </w:numPr>
      </w:pPr>
      <w:r>
        <w:t xml:space="preserve">any claim that a synthetic scenario corresponds to a real geological site.</w:t>
      </w:r>
    </w:p>
    <w:p>
      <w:pPr>
        <w:pStyle w:val="FirstParagraph"/>
      </w:pPr>
      <w:r>
        <w:t xml:space="preserve">Implementation may support/configure these fields and use clearly labelled synthetic test fixtures, but the final stakeholder run must expose their assumption status.</w:t>
      </w:r>
    </w:p>
    <w:p>
      <w:r>
        <w:pict>
          <v:rect style="width:0;height:1.5pt" o:hralign="center" o:hrstd="t" o:hr="t"/>
        </w:pict>
      </w:r>
    </w:p>
    <w:bookmarkEnd w:id="134"/>
    <w:bookmarkStart w:id="135" w:name="X8107b1b121dcef7f03b255c95674af84da90889"/>
    <w:p>
      <w:pPr>
        <w:pStyle w:val="Heading2"/>
      </w:pPr>
      <w:r>
        <w:rPr>
          <w:rStyle w:val="SectionNumber"/>
        </w:rPr>
        <w:t xml:space="preserve">1.29</w:t>
      </w:r>
      <w:r>
        <w:tab/>
      </w:r>
      <w:r>
        <w:t xml:space="preserve">28. Phase-II extension points — design for, do not implement</w:t>
      </w:r>
    </w:p>
    <w:p>
      <w:pPr>
        <w:pStyle w:val="FirstParagraph"/>
      </w:pPr>
      <w:r>
        <w:t xml:space="preserve">The new contracts should leave clean extension points for:</w:t>
      </w:r>
    </w:p>
    <w:p>
      <w:pPr>
        <w:pStyle w:val="Compact"/>
        <w:numPr>
          <w:ilvl w:val="0"/>
          <w:numId w:val="1064"/>
        </w:numPr>
      </w:pPr>
      <w:r>
        <w:t xml:space="preserve">independent site-specific real PyDoublet result files;</w:t>
      </w:r>
    </w:p>
    <w:p>
      <w:pPr>
        <w:pStyle w:val="Compact"/>
        <w:numPr>
          <w:ilvl w:val="0"/>
          <w:numId w:val="1064"/>
        </w:numPr>
      </w:pPr>
      <w:r>
        <w:t xml:space="preserve">real EPSG/GIS sites and routes;</w:t>
      </w:r>
    </w:p>
    <w:p>
      <w:pPr>
        <w:pStyle w:val="Compact"/>
        <w:numPr>
          <w:ilvl w:val="0"/>
          <w:numId w:val="1064"/>
        </w:numPr>
      </w:pPr>
      <w:r>
        <w:t xml:space="preserve">approved Wuppertal network data;</w:t>
      </w:r>
    </w:p>
    <w:p>
      <w:pPr>
        <w:pStyle w:val="Compact"/>
        <w:numPr>
          <w:ilvl w:val="0"/>
          <w:numId w:val="1064"/>
        </w:numPr>
      </w:pPr>
      <w:r>
        <w:t xml:space="preserve">depth-dependent geothermal cost model;</w:t>
      </w:r>
    </w:p>
    <w:p>
      <w:pPr>
        <w:pStyle w:val="Compact"/>
        <w:numPr>
          <w:ilvl w:val="0"/>
          <w:numId w:val="1064"/>
        </w:numPr>
      </w:pPr>
      <w:r>
        <w:t xml:space="preserve">bidirectional DH-return/HX/PyDoublet operating-point iteration if PyDoublet supports it;</w:t>
      </w:r>
    </w:p>
    <w:p>
      <w:pPr>
        <w:pStyle w:val="Compact"/>
        <w:numPr>
          <w:ilvl w:val="0"/>
          <w:numId w:val="1064"/>
        </w:numPr>
      </w:pPr>
      <w:r>
        <w:t xml:space="preserve">probabilistic resource scenarios;</w:t>
      </w:r>
    </w:p>
    <w:p>
      <w:pPr>
        <w:pStyle w:val="Compact"/>
        <w:numPr>
          <w:ilvl w:val="0"/>
          <w:numId w:val="1064"/>
        </w:numPr>
      </w:pPr>
      <w:r>
        <w:t xml:space="preserve">exploration probability of success;</w:t>
      </w:r>
    </w:p>
    <w:p>
      <w:pPr>
        <w:pStyle w:val="Compact"/>
        <w:numPr>
          <w:ilvl w:val="0"/>
          <w:numId w:val="1064"/>
        </w:numPr>
      </w:pPr>
      <w:r>
        <w:t xml:space="preserve">Drews-style risk-adjusted LCOH;</w:t>
      </w:r>
    </w:p>
    <w:p>
      <w:pPr>
        <w:pStyle w:val="Compact"/>
        <w:numPr>
          <w:ilvl w:val="0"/>
          <w:numId w:val="1064"/>
        </w:numPr>
      </w:pPr>
      <w:r>
        <w:t xml:space="preserve">coarse screening before detailed simulation at city scale;</w:t>
      </w:r>
    </w:p>
    <w:p>
      <w:pPr>
        <w:pStyle w:val="Compact"/>
        <w:numPr>
          <w:ilvl w:val="0"/>
          <w:numId w:val="1064"/>
        </w:numPr>
      </w:pPr>
      <w:r>
        <w:t xml:space="preserve">multiple geothermal doublets and storage/heat-pump coupling.</w:t>
      </w:r>
    </w:p>
    <w:p>
      <w:pPr>
        <w:pStyle w:val="FirstParagraph"/>
      </w:pPr>
      <w:r>
        <w:t xml:space="preserve">Do not implement placeholders that silently return fake values.</w:t>
      </w:r>
    </w:p>
    <w:p>
      <w:r>
        <w:pict>
          <v:rect style="width:0;height:1.5pt" o:hralign="center" o:hrstd="t" o:hr="t"/>
        </w:pict>
      </w:r>
    </w:p>
    <w:bookmarkEnd w:id="135"/>
    <w:bookmarkStart w:id="136" w:name="X0f53b47ac6edb6e855e764214ad1c0fe9047076"/>
    <w:p>
      <w:pPr>
        <w:pStyle w:val="Heading2"/>
      </w:pPr>
      <w:r>
        <w:rPr>
          <w:rStyle w:val="SectionNumber"/>
        </w:rPr>
        <w:t xml:space="preserve">1.30</w:t>
      </w:r>
      <w:r>
        <w:tab/>
      </w:r>
      <w:r>
        <w:t xml:space="preserve">29. Required final implementation report from Claude</w:t>
      </w:r>
    </w:p>
    <w:p>
      <w:pPr>
        <w:pStyle w:val="FirstParagraph"/>
      </w:pPr>
      <w:r>
        <w:t xml:space="preserve">After Phase 9, Claude must report:</w:t>
      </w:r>
    </w:p>
    <w:p>
      <w:pPr>
        <w:pStyle w:val="Compact"/>
        <w:numPr>
          <w:ilvl w:val="0"/>
          <w:numId w:val="1065"/>
        </w:numPr>
      </w:pPr>
      <w:r>
        <w:t xml:space="preserve">exact branch and HEAD;</w:t>
      </w:r>
    </w:p>
    <w:p>
      <w:pPr>
        <w:pStyle w:val="Compact"/>
        <w:numPr>
          <w:ilvl w:val="0"/>
          <w:numId w:val="1065"/>
        </w:numPr>
      </w:pPr>
      <w:r>
        <w:t xml:space="preserve">changed files by phase;</w:t>
      </w:r>
    </w:p>
    <w:p>
      <w:pPr>
        <w:pStyle w:val="Compact"/>
        <w:numPr>
          <w:ilvl w:val="0"/>
          <w:numId w:val="1065"/>
        </w:numPr>
      </w:pPr>
      <w:r>
        <w:t xml:space="preserve">all commands executed;</w:t>
      </w:r>
    </w:p>
    <w:p>
      <w:pPr>
        <w:pStyle w:val="Compact"/>
        <w:numPr>
          <w:ilvl w:val="0"/>
          <w:numId w:val="1065"/>
        </w:numPr>
      </w:pPr>
      <w:r>
        <w:t xml:space="preserve">offline test counts;</w:t>
      </w:r>
    </w:p>
    <w:p>
      <w:pPr>
        <w:pStyle w:val="Compact"/>
        <w:numPr>
          <w:ilvl w:val="0"/>
          <w:numId w:val="1065"/>
        </w:numPr>
      </w:pPr>
      <w:r>
        <w:t xml:space="preserve">wheel/install smoke-test result;</w:t>
      </w:r>
    </w:p>
    <w:p>
      <w:pPr>
        <w:pStyle w:val="Compact"/>
        <w:numPr>
          <w:ilvl w:val="0"/>
          <w:numId w:val="1065"/>
        </w:numPr>
      </w:pPr>
      <w:r>
        <w:t xml:space="preserve">CI run IDs and job statuses;</w:t>
      </w:r>
    </w:p>
    <w:p>
      <w:pPr>
        <w:pStyle w:val="Compact"/>
        <w:numPr>
          <w:ilvl w:val="0"/>
          <w:numId w:val="1065"/>
        </w:numPr>
      </w:pPr>
      <w:r>
        <w:t xml:space="preserve">canonical baseline regression result;</w:t>
      </w:r>
    </w:p>
    <w:p>
      <w:pPr>
        <w:pStyle w:val="Compact"/>
        <w:numPr>
          <w:ilvl w:val="0"/>
          <w:numId w:val="1065"/>
        </w:numPr>
      </w:pPr>
      <w:r>
        <w:t xml:space="preserve">existing v2 baseline regression result;</w:t>
      </w:r>
    </w:p>
    <w:p>
      <w:pPr>
        <w:pStyle w:val="Compact"/>
        <w:numPr>
          <w:ilvl w:val="0"/>
          <w:numId w:val="1065"/>
        </w:numPr>
      </w:pPr>
      <w:r>
        <w:t xml:space="preserve">research experiment run ID and bundle scientific hash;</w:t>
      </w:r>
    </w:p>
    <w:p>
      <w:pPr>
        <w:pStyle w:val="Compact"/>
        <w:numPr>
          <w:ilvl w:val="0"/>
          <w:numId w:val="1065"/>
        </w:numPr>
      </w:pPr>
      <w:r>
        <w:t xml:space="preserve">geothermal-only rank-1 group;</w:t>
      </w:r>
    </w:p>
    <w:p>
      <w:pPr>
        <w:pStyle w:val="Compact"/>
        <w:numPr>
          <w:ilvl w:val="0"/>
          <w:numId w:val="1065"/>
        </w:numPr>
      </w:pPr>
      <w:r>
        <w:t xml:space="preserve">network-only rank-1 group;</w:t>
      </w:r>
    </w:p>
    <w:p>
      <w:pPr>
        <w:pStyle w:val="Compact"/>
        <w:numPr>
          <w:ilvl w:val="0"/>
          <w:numId w:val="1065"/>
        </w:numPr>
      </w:pPr>
      <w:r>
        <w:t xml:space="preserve">integrated rank-1 group;</w:t>
      </w:r>
    </w:p>
    <w:p>
      <w:pPr>
        <w:pStyle w:val="Compact"/>
        <w:numPr>
          <w:ilvl w:val="0"/>
          <w:numId w:val="1065"/>
        </w:numPr>
      </w:pPr>
      <w:r>
        <w:t xml:space="preserve">whether integration changes site and/or attachment conclusion;</w:t>
      </w:r>
    </w:p>
    <w:p>
      <w:pPr>
        <w:pStyle w:val="Compact"/>
        <w:numPr>
          <w:ilvl w:val="0"/>
          <w:numId w:val="1065"/>
        </w:numPr>
      </w:pPr>
      <w:r>
        <w:t xml:space="preserve">Pareto shortlist;</w:t>
      </w:r>
    </w:p>
    <w:p>
      <w:pPr>
        <w:pStyle w:val="Compact"/>
        <w:numPr>
          <w:ilvl w:val="0"/>
          <w:numId w:val="1065"/>
        </w:numPr>
      </w:pPr>
      <w:r>
        <w:t xml:space="preserve">sensitivity robustness classification;</w:t>
      </w:r>
    </w:p>
    <w:p>
      <w:pPr>
        <w:pStyle w:val="Compact"/>
        <w:numPr>
          <w:ilvl w:val="0"/>
          <w:numId w:val="1065"/>
        </w:numPr>
      </w:pPr>
      <w:r>
        <w:t xml:space="preserve">remaining limitations;</w:t>
      </w:r>
    </w:p>
    <w:p>
      <w:pPr>
        <w:pStyle w:val="Compact"/>
        <w:numPr>
          <w:ilvl w:val="0"/>
          <w:numId w:val="1065"/>
        </w:numPr>
      </w:pPr>
      <w:r>
        <w:t xml:space="preserve">any deviation from this specification;</w:t>
      </w:r>
    </w:p>
    <w:p>
      <w:pPr>
        <w:pStyle w:val="Compact"/>
        <w:numPr>
          <w:ilvl w:val="0"/>
          <w:numId w:val="1065"/>
        </w:numPr>
      </w:pPr>
      <w:r>
        <w:t xml:space="preserve">no commit/push unless separately authorized.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X5b52126315f66406269c4ff77ac4290c71c19d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Appendix A — Exact Claude Code master prompt</w:t>
      </w:r>
    </w:p>
    <w:p>
      <w:pPr>
        <w:pStyle w:val="FirstParagraph"/>
      </w:pPr>
      <w:r>
        <w:t xml:space="preserve">Use the following prompt with Claude Code after this specification has been placed in the repository.</w:t>
      </w:r>
    </w:p>
    <w:p>
      <w:pPr>
        <w:pStyle w:val="BlockText"/>
      </w:pPr>
      <w:r>
        <w:t xml:space="preserve">You are implementing the final research-alignment layer of the R3-CHAIN geothermal orchestration prototype.</w:t>
      </w:r>
    </w:p>
    <w:p>
      <w:pPr>
        <w:pStyle w:val="BlockTex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ijhewaratne/r3chain-geothermal-orchestration</w:t>
      </w:r>
      <w:r>
        <w:br/>
      </w:r>
      <w:r>
        <w:t xml:space="preserve">Baseline branch: latest remote</w:t>
      </w:r>
      <w:r>
        <w:t xml:space="preserve"> </w:t>
      </w:r>
      <w:r>
        <w:rPr>
          <w:rStyle w:val="VerbatimChar"/>
        </w:rPr>
        <w:t xml:space="preserve">feature/complete-synthetic-prototype</w:t>
      </w:r>
      <w:r>
        <w:br/>
      </w:r>
      <w:r>
        <w:t xml:space="preserve">Governing specification:</w:t>
      </w:r>
      <w:r>
        <w:t xml:space="preserve"> </w:t>
      </w:r>
      <w:r>
        <w:rPr>
          <w:rStyle w:val="VerbatimChar"/>
        </w:rPr>
        <w:t xml:space="preserve">docs/specifications/R3CHAIN_FINAL_RESEARCH_ALIGNMENT_IMPLEMENTATION_SPEC.md</w:t>
      </w:r>
    </w:p>
    <w:p>
      <w:pPr>
        <w:pStyle w:val="BlockText"/>
      </w:pPr>
      <w:r>
        <w:t xml:space="preserve">The corrected v2 joint site–connection architecture already exists.</w:t>
      </w:r>
      <w:r>
        <w:t xml:space="preserve"> </w:t>
      </w:r>
      <w:r>
        <w:rPr>
          <w:b/>
          <w:bCs/>
        </w:rPr>
        <w:t xml:space="preserve">Do not redesign it.</w:t>
      </w:r>
      <w:r>
        <w:t xml:space="preserve"> </w:t>
      </w:r>
      <w:r>
        <w:t xml:space="preserve">Your task is to build the final controlled research experiment above it: three representative steady-state load conditions with correct annualization; primary materiality-aware system-LCOH ranking with Pareto retained as a secondary diagnostic; geothermal-only, network-only and integrated baselines; deterministic comparison of those baselines; controlled sensitivity/robustness analysis; complete provenance/artifacts; and API/CLI/MCP parity through the existing six-tool server.</w:t>
      </w:r>
    </w:p>
    <w:p>
      <w:pPr>
        <w:pStyle w:val="BlockText"/>
      </w:pPr>
      <w:r>
        <w:t xml:space="preserve">Non-negotiable boundaries:</w:t>
      </w:r>
    </w:p>
    <w:p>
      <w:pPr>
        <w:pStyle w:val="Compact"/>
        <w:numPr>
          <w:ilvl w:val="0"/>
          <w:numId w:val="1066"/>
        </w:numPr>
      </w:pPr>
      <w:r>
        <w:t xml:space="preserve">preserve the canonical C1–C4 scientific baseline;</w:t>
      </w:r>
    </w:p>
    <w:p>
      <w:pPr>
        <w:pStyle w:val="Compact"/>
        <w:numPr>
          <w:ilvl w:val="0"/>
          <w:numId w:val="1066"/>
        </w:numPr>
      </w:pPr>
      <w:r>
        <w:t xml:space="preserve">preserve the existing v2 scientific baseline and use a wrapper/research package rather than mutating it where possible;</w:t>
      </w:r>
    </w:p>
    <w:p>
      <w:pPr>
        <w:pStyle w:val="Compact"/>
        <w:numPr>
          <w:ilvl w:val="0"/>
          <w:numId w:val="1066"/>
        </w:numPr>
      </w:pPr>
      <w:r>
        <w:t xml:space="preserve">do not fabricate geology, real coordinates, land constraints, costs or PyDoublet outputs;</w:t>
      </w:r>
    </w:p>
    <w:p>
      <w:pPr>
        <w:pStyle w:val="Compact"/>
        <w:numPr>
          <w:ilvl w:val="0"/>
          <w:numId w:val="1066"/>
        </w:numPr>
      </w:pPr>
      <w:r>
        <w:t xml:space="preserve">do not implement transient reservoir simulation or Drews-style exploration risk in this phase;</w:t>
      </w:r>
    </w:p>
    <w:p>
      <w:pPr>
        <w:pStyle w:val="Compact"/>
        <w:numPr>
          <w:ilvl w:val="0"/>
          <w:numId w:val="1066"/>
        </w:numPr>
      </w:pPr>
      <w:r>
        <w:t xml:space="preserve">do not let an LLM calculate physics, feasibility, economics or ranking;</w:t>
      </w:r>
    </w:p>
    <w:p>
      <w:pPr>
        <w:pStyle w:val="Compact"/>
        <w:numPr>
          <w:ilvl w:val="0"/>
          <w:numId w:val="1066"/>
        </w:numPr>
      </w:pPr>
      <w:r>
        <w:t xml:space="preserve">do not add a seventh MCP tool or a separate PyDoublet MCP server;</w:t>
      </w:r>
    </w:p>
    <w:p>
      <w:pPr>
        <w:pStyle w:val="Compact"/>
        <w:numPr>
          <w:ilvl w:val="0"/>
          <w:numId w:val="1066"/>
        </w:numPr>
      </w:pPr>
      <w:r>
        <w:t xml:space="preserve">do not commit, push or open a PR without explicit user authorization;</w:t>
      </w:r>
    </w:p>
    <w:p>
      <w:pPr>
        <w:pStyle w:val="Compact"/>
        <w:numPr>
          <w:ilvl w:val="0"/>
          <w:numId w:val="1066"/>
        </w:numPr>
      </w:pPr>
      <w:r>
        <w:t xml:space="preserve">never weaken/delete a test merely to make the suite pass.</w:t>
      </w:r>
    </w:p>
    <w:p>
      <w:pPr>
        <w:pStyle w:val="BlockText"/>
      </w:pPr>
      <w:r>
        <w:rPr>
          <w:b/>
          <w:bCs/>
        </w:rPr>
        <w:t xml:space="preserve">Phase 0 first: read-only audit. Do not edit anything yet.</w:t>
      </w:r>
    </w:p>
    <w:p>
      <w:pPr>
        <w:pStyle w:val="BlockText"/>
      </w:pPr>
      <w:r>
        <w:t xml:space="preserve">Report:</w:t>
      </w:r>
    </w:p>
    <w:p>
      <w:pPr>
        <w:pStyle w:val="Compact"/>
        <w:numPr>
          <w:ilvl w:val="0"/>
          <w:numId w:val="1067"/>
        </w:numPr>
      </w:pPr>
      <w:r>
        <w:t xml:space="preserve">exact remote HEAD, branch, clean/dirty state and any divergence;</w:t>
      </w:r>
    </w:p>
    <w:p>
      <w:pPr>
        <w:pStyle w:val="Compact"/>
        <w:numPr>
          <w:ilvl w:val="0"/>
          <w:numId w:val="1067"/>
        </w:numPr>
      </w:pPr>
      <w:r>
        <w:t xml:space="preserve">current implementations of v2 workflow, data contracts, annual economics, decision policy, CLI, MCP, registry, artifacts and tests;</w:t>
      </w:r>
    </w:p>
    <w:p>
      <w:pPr>
        <w:pStyle w:val="Compact"/>
        <w:numPr>
          <w:ilvl w:val="0"/>
          <w:numId w:val="1067"/>
        </w:numPr>
      </w:pPr>
      <w:r>
        <w:t xml:space="preserve">which parts of the new specification are already supported (especially</w:t>
      </w:r>
      <w:r>
        <w:t xml:space="preserve"> </w:t>
      </w:r>
      <w:r>
        <w:rPr>
          <w:rStyle w:val="VerbatimChar"/>
        </w:rPr>
        <w:t xml:space="preserve">primary_objective_ranking</w:t>
      </w:r>
      <w:r>
        <w:t xml:space="preserve">) and therefore require configuration/wiring rather than new duplicate code;</w:t>
      </w:r>
    </w:p>
    <w:p>
      <w:pPr>
        <w:pStyle w:val="Compact"/>
        <w:numPr>
          <w:ilvl w:val="0"/>
          <w:numId w:val="1067"/>
        </w:numPr>
      </w:pPr>
      <w:r>
        <w:t xml:space="preserve">exact files you propose to add/change;</w:t>
      </w:r>
    </w:p>
    <w:p>
      <w:pPr>
        <w:pStyle w:val="Compact"/>
        <w:numPr>
          <w:ilvl w:val="0"/>
          <w:numId w:val="1067"/>
        </w:numPr>
      </w:pPr>
      <w:r>
        <w:t xml:space="preserve">exact tests you will add/run;</w:t>
      </w:r>
    </w:p>
    <w:p>
      <w:pPr>
        <w:pStyle w:val="Compact"/>
        <w:numPr>
          <w:ilvl w:val="0"/>
          <w:numId w:val="1067"/>
        </w:numPr>
      </w:pPr>
      <w:r>
        <w:t xml:space="preserve">risks/ambiguities, especially current low-load curtailment behavior and the treatment of geothermal pump power across load states;</w:t>
      </w:r>
    </w:p>
    <w:p>
      <w:pPr>
        <w:pStyle w:val="Compact"/>
        <w:numPr>
          <w:ilvl w:val="0"/>
          <w:numId w:val="1067"/>
        </w:numPr>
      </w:pPr>
      <w:r>
        <w:t xml:space="preserve">whether any existing scientific hash would change and why.</w:t>
      </w:r>
    </w:p>
    <w:p>
      <w:pPr>
        <w:pStyle w:val="BlockText"/>
      </w:pPr>
      <w:r>
        <w:t xml:space="preserve">Stop after the Phase 0 report and wait for authorization.</w:t>
      </w:r>
    </w:p>
    <w:p>
      <w:pPr>
        <w:pStyle w:val="BlockText"/>
      </w:pPr>
      <w:r>
        <w:t xml:space="preserve">Once authorized, implement Phases 1–9 in order. At each phase, run focused tests and report the exit gate. Reuse existing deterministic physics/economics/decision helpers; keep new responsibilities modular. The final run must mechanically answer whether the integrated rank-1 site/attachment set matches or differs from the geothermal-only and network-only rank-1 sets, and must report robustness only as “over the tested range.”</w:t>
      </w:r>
    </w:p>
    <w:p>
      <w:r>
        <w:pict>
          <v:rect style="width:0;height:1.5pt" o:hralign="center" o:hrstd="t" o:hr="t"/>
        </w:pict>
      </w:r>
    </w:p>
    <w:bookmarkEnd w:id="138"/>
    <w:bookmarkStart w:id="139" w:name="X4ef93470e46be0236293299f00ebfdfc43de36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Appendix B — Research result interpretation template</w:t>
      </w:r>
    </w:p>
    <w:p>
      <w:pPr>
        <w:pStyle w:val="FirstParagraph"/>
      </w:pPr>
      <w:r>
        <w:t xml:space="preserve">The final findings artifact should be structurally capable of producing a statement like this, using only deterministic result fields:</w:t>
      </w:r>
    </w:p>
    <w:p>
      <w:pPr>
        <w:pStyle w:val="BlockText"/>
      </w:pPr>
      <w:r>
        <w:t xml:space="preserve">Under the declared synthetic assumptions, the geothermal-only assessment preferred [scenario/site rank group], while the fixed-source network-only assessment preferred [attachment rank group]. The integrated annualized assessment preferred [alternative rank group] at [annualized LCOH or tied range] EUR/MWh. Therefore, integration [did/did not/could not uniquely be shown to] change the preferred geothermal site and [did/did not/could not uniquely be shown to] change the preferred network attachment. The preferred configuration was [robust over the tested sensitivity range / assumption-sensitive / not uniquely ranked]. These results demonstrate the methodology only; they are not a Wuppertal drilling recommendation and do not include exploration-risk probability.</w:t>
      </w:r>
    </w:p>
    <w:p>
      <w:r>
        <w:pict>
          <v:rect style="width:0;height:1.5pt" o:hralign="center" o:hrstd="t" o:hr="t"/>
        </w:pict>
      </w:r>
    </w:p>
    <w:bookmarkEnd w:id="139"/>
    <w:bookmarkStart w:id="140" w:name="Xbc84f5f3dfe6d07080d9bbbf4005352f5c38ea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Appendix C — Implementation completion definition</w:t>
      </w:r>
    </w:p>
    <w:p>
      <w:pPr>
        <w:pStyle w:val="FirstParagraph"/>
      </w:pPr>
      <w:r>
        <w:t xml:space="preserve">The final six-week synthetic prototype is</w:t>
      </w:r>
      <w:r>
        <w:t xml:space="preserve"> </w:t>
      </w:r>
      <w:r>
        <w:rPr>
          <w:b/>
          <w:bCs/>
        </w:rPr>
        <w:t xml:space="preserve">scientifically complete</w:t>
      </w:r>
      <w:r>
        <w:t xml:space="preserve"> </w:t>
      </w:r>
      <w:r>
        <w:t xml:space="preserve">when it can reproducibly answer:</w:t>
      </w:r>
    </w:p>
    <w:p>
      <w:pPr>
        <w:pStyle w:val="BlockText"/>
      </w:pPr>
      <w:r>
        <w:t xml:space="preserve">For this fixed four-consumer district-heating network, these explicitly synthetic geothermal sites/resource scenarios, these network attachments/routes, these declared representative load states and these declared cost assumptions: which compatible alternatives are technically feasible, which feasible alternatives have the lowest annualized system LCOH within materiality, how does that result compare with geothermal-only and network-only assessments, and does the preferred alternative remain stable over the tested assumption range?</w:t>
      </w:r>
    </w:p>
    <w:p>
      <w:pPr>
        <w:pStyle w:val="FirstParagraph"/>
      </w:pPr>
      <w:r>
        <w:t xml:space="preserve">Anything beyond that — real Wuppertal siting, probabilistic exploration risk, transient reservoir/network co-simulation or city-scale search acceleration — is Phase II.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R3-CHAIN Final Research-Alignment Implementation Specification</dc:title>
  <dc:creator/>
  <cp:keywords/>
  <dcterms:created xsi:type="dcterms:W3CDTF">2026-09-05T11:49:16Z</dcterms:created>
  <dcterms:modified xsi:type="dcterms:W3CDTF">2026-09-05T11:49:16Z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implementation contract for Claude Code</vt:lpwstr>
  </property>
</Properties>
</file>