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C1407" w:rsidRDefault="00000000">
      <w:pPr>
        <w:pStyle w:val="1"/>
        <w:spacing w:before="320" w:after="160" w:line="288" w:lineRule="auto"/>
        <w:rPr>
          <w:lang w:eastAsia="zh-CN"/>
        </w:rPr>
      </w:pPr>
      <w:r>
        <w:rPr>
          <w:rFonts w:ascii="Times New Roman" w:eastAsia="黑体" w:hAnsi="Times New Roman" w:cs="Times New Roman"/>
          <w:color w:val="000000"/>
          <w:sz w:val="32"/>
          <w:szCs w:val="32"/>
          <w:lang w:eastAsia="zh-CN"/>
        </w:rPr>
        <w:t>智能会议签到与出勤分析系统</w:t>
      </w:r>
      <w:r>
        <w:rPr>
          <w:rFonts w:ascii="Times New Roman" w:eastAsia="黑体" w:hAnsi="Times New Roman" w:cs="Times New Roman"/>
          <w:color w:val="000000"/>
          <w:sz w:val="32"/>
          <w:szCs w:val="32"/>
          <w:lang w:eastAsia="zh-CN"/>
        </w:rPr>
        <w:t xml:space="preserve"> </w:t>
      </w:r>
      <w:r>
        <w:rPr>
          <w:rFonts w:ascii="Times New Roman" w:eastAsia="黑体" w:hAnsi="Times New Roman" w:cs="Times New Roman"/>
          <w:color w:val="000000"/>
          <w:sz w:val="32"/>
          <w:szCs w:val="32"/>
          <w:lang w:eastAsia="zh-CN"/>
        </w:rPr>
        <w:t>风险管理矩阵与应急预案</w:t>
      </w:r>
    </w:p>
    <w:p w:rsidR="003F3269" w:rsidRDefault="00000000" w:rsidP="003F3269">
      <w:pPr>
        <w:spacing w:after="0" w:line="360" w:lineRule="auto"/>
        <w:jc w:val="both"/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项目名称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：基于深度学习的企业智能会议签到与出勤分析系统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(</w:t>
      </w:r>
      <w:r>
        <w:rPr>
          <w:rFonts w:ascii="Times New Roman" w:eastAsia="宋体" w:hAnsi="Times New Roman" w:cs="Times New Roman"/>
          <w:i/>
          <w:color w:val="000000"/>
          <w:sz w:val="24"/>
          <w:szCs w:val="24"/>
          <w:lang w:eastAsia="zh-CN"/>
        </w:rPr>
        <w:t xml:space="preserve">Smart </w:t>
      </w:r>
      <w:proofErr w:type="spellStart"/>
      <w:r>
        <w:rPr>
          <w:rFonts w:ascii="Times New Roman" w:eastAsia="宋体" w:hAnsi="Times New Roman" w:cs="Times New Roman"/>
          <w:i/>
          <w:color w:val="000000"/>
          <w:sz w:val="24"/>
          <w:szCs w:val="24"/>
          <w:lang w:eastAsia="zh-CN"/>
        </w:rPr>
        <w:t>MeetingVisionSystem</w:t>
      </w:r>
      <w:proofErr w:type="spellEnd"/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)v1.2.0</w:t>
      </w:r>
    </w:p>
    <w:p w:rsidR="003F3269" w:rsidRDefault="00000000" w:rsidP="003F3269">
      <w:pPr>
        <w:spacing w:after="0" w:line="360" w:lineRule="auto"/>
        <w:jc w:val="both"/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适用课程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：软件工程项目训练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(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南京工程学院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软件工程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232)</w:t>
      </w:r>
    </w:p>
    <w:p w:rsidR="003F3269" w:rsidRDefault="00000000" w:rsidP="003F3269">
      <w:pPr>
        <w:spacing w:after="0" w:line="360" w:lineRule="auto"/>
        <w:jc w:val="both"/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标准基准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：严格遵循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IEEE 1540 / PMBOK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风险管理规范</w:t>
      </w:r>
    </w:p>
    <w:p w:rsidR="003F3269" w:rsidRDefault="00000000" w:rsidP="003F3269">
      <w:pPr>
        <w:spacing w:after="0" w:line="360" w:lineRule="auto"/>
        <w:jc w:val="both"/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量化模型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：风险量化值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R=</m:t>
        </m:r>
        <m:r>
          <m:rPr>
            <m:lit/>
          </m:rPr>
          <w:rPr>
            <w:rFonts w:ascii="Cambria Math" w:hAnsi="Cambria Math"/>
            <w:lang w:eastAsia="zh-CN"/>
          </w:rPr>
          <m:t>发生概率</m:t>
        </m:r>
        <m:r>
          <m:rPr>
            <m:lit/>
          </m:rPr>
          <w:rPr>
            <w:rFonts w:ascii="Cambria Math" w:hAnsi="Cambria Math"/>
            <w:lang w:eastAsia="zh-CN"/>
          </w:rPr>
          <m:t> </m:t>
        </m:r>
        <m:r>
          <w:rPr>
            <w:rFonts w:ascii="Cambria Math" w:hAnsi="Cambria Math"/>
            <w:lang w:eastAsia="zh-CN"/>
          </w:rPr>
          <m:t>P×</m:t>
        </m:r>
        <m:r>
          <m:rPr>
            <m:lit/>
          </m:rPr>
          <w:rPr>
            <w:rFonts w:ascii="Cambria Math" w:hAnsi="Cambria Math"/>
            <w:lang w:eastAsia="zh-CN"/>
          </w:rPr>
          <m:t> </m:t>
        </m:r>
        <m:r>
          <m:rPr>
            <m:lit/>
          </m:rPr>
          <w:rPr>
            <w:rFonts w:ascii="Cambria Math" w:hAnsi="Cambria Math"/>
            <w:lang w:eastAsia="zh-CN"/>
          </w:rPr>
          <m:t>影响程度</m:t>
        </m:r>
        <m:r>
          <m:rPr>
            <m:lit/>
          </m:rPr>
          <w:rPr>
            <w:rFonts w:ascii="Cambria Math" w:hAnsi="Cambria Math"/>
            <w:lang w:eastAsia="zh-CN"/>
          </w:rPr>
          <m:t> </m:t>
        </m:r>
        <m:r>
          <w:rPr>
            <w:rFonts w:ascii="Cambria Math" w:hAnsi="Cambria Math"/>
            <w:lang w:eastAsia="zh-CN"/>
          </w:rPr>
          <m:t>I</m:t>
        </m:r>
      </m:oMath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（</w:t>
      </w:r>
      <m:oMath>
        <m:r>
          <w:rPr>
            <w:rFonts w:ascii="Cambria Math" w:hAnsi="Cambria Math"/>
            <w:lang w:eastAsia="zh-CN"/>
          </w:rPr>
          <m:t>P,I∈[1,4]</m:t>
        </m:r>
      </m:oMath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；高风险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≥9</m:t>
        </m:r>
      </m:oMath>
      <w:r w:rsidR="003F3269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种中风险</w:t>
      </w:r>
      <m:oMath>
        <m:r>
          <w:rPr>
            <w:rFonts w:ascii="Cambria Math" w:hAnsi="Cambria Math"/>
            <w:lang w:eastAsia="zh-CN"/>
          </w:rPr>
          <m:t>4~8</m:t>
        </m:r>
      </m:oMath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，低风险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≤3</m:t>
        </m:r>
      </m:oMath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）</w:t>
      </w:r>
    </w:p>
    <w:p w:rsidR="004C1407" w:rsidRDefault="00000000" w:rsidP="003F3269">
      <w:pPr>
        <w:spacing w:after="0" w:line="360" w:lineRule="auto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更新时间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2026-09-02</w:t>
      </w:r>
    </w:p>
    <w:p w:rsidR="004C1407" w:rsidRDefault="00000000">
      <w:pPr>
        <w:pStyle w:val="21"/>
        <w:spacing w:before="240" w:after="120" w:line="288" w:lineRule="auto"/>
        <w:rPr>
          <w:lang w:eastAsia="zh-CN"/>
        </w:rPr>
      </w:pPr>
      <w:r>
        <w:rPr>
          <w:rFonts w:ascii="Times New Roman" w:eastAsia="黑体" w:hAnsi="Times New Roman" w:cs="Times New Roman"/>
          <w:color w:val="000000"/>
          <w:sz w:val="28"/>
          <w:szCs w:val="28"/>
          <w:lang w:eastAsia="zh-CN"/>
        </w:rPr>
        <w:t>项目全景风险识别、评估与应对策略总表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718"/>
        <w:gridCol w:w="445"/>
        <w:gridCol w:w="1463"/>
        <w:gridCol w:w="461"/>
        <w:gridCol w:w="461"/>
        <w:gridCol w:w="566"/>
        <w:gridCol w:w="1160"/>
        <w:gridCol w:w="2419"/>
        <w:gridCol w:w="823"/>
      </w:tblGrid>
      <w:tr w:rsidR="003F3269" w:rsidTr="003F3269">
        <w:tc>
          <w:tcPr>
            <w:tcW w:w="718" w:type="dxa"/>
          </w:tcPr>
          <w:p w:rsidR="004C1407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风险编号</w:t>
            </w:r>
            <w:proofErr w:type="spellEnd"/>
          </w:p>
        </w:tc>
        <w:tc>
          <w:tcPr>
            <w:tcW w:w="445" w:type="dxa"/>
          </w:tcPr>
          <w:p w:rsidR="004C1407" w:rsidRDefault="00000000">
            <w:pPr>
              <w:jc w:val="center"/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风险类别</w:t>
            </w:r>
          </w:p>
        </w:tc>
        <w:tc>
          <w:tcPr>
            <w:tcW w:w="1463" w:type="dxa"/>
          </w:tcPr>
          <w:p w:rsidR="004C1407" w:rsidRDefault="00000000"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风险描述与触发条件</w:t>
            </w:r>
          </w:p>
        </w:tc>
        <w:tc>
          <w:tcPr>
            <w:tcW w:w="461" w:type="dxa"/>
          </w:tcPr>
          <w:p w:rsidR="004C1407" w:rsidRDefault="00000000">
            <w:pPr>
              <w:jc w:val="center"/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发生概率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P</m:t>
              </m:r>
            </m:oMath>
          </w:p>
        </w:tc>
        <w:tc>
          <w:tcPr>
            <w:tcW w:w="461" w:type="dxa"/>
          </w:tcPr>
          <w:p w:rsidR="004C1407" w:rsidRDefault="00000000">
            <w:pPr>
              <w:jc w:val="center"/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影响程度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I</m:t>
              </m:r>
            </m:oMath>
          </w:p>
        </w:tc>
        <w:tc>
          <w:tcPr>
            <w:tcW w:w="566" w:type="dxa"/>
          </w:tcPr>
          <w:p w:rsidR="004C1407" w:rsidRDefault="00000000">
            <w:pPr>
              <w:jc w:val="center"/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风险等级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R</m:t>
              </m:r>
            </m:oMath>
          </w:p>
        </w:tc>
        <w:tc>
          <w:tcPr>
            <w:tcW w:w="1523" w:type="dxa"/>
          </w:tcPr>
          <w:p w:rsidR="004C1407" w:rsidRDefault="00000000"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预防与规避措施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056" w:type="dxa"/>
          </w:tcPr>
          <w:p w:rsidR="004C1407" w:rsidRDefault="00000000"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应急兜底与自愈预案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823" w:type="dxa"/>
          </w:tcPr>
          <w:p w:rsidR="004C1407" w:rsidRDefault="00000000"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监控责任与核查方式</w:t>
            </w:r>
          </w:p>
        </w:tc>
      </w:tr>
      <w:tr w:rsidR="004C1407" w:rsidTr="003F3269">
        <w:tc>
          <w:tcPr>
            <w:tcW w:w="718" w:type="dxa"/>
          </w:tcPr>
          <w:p w:rsidR="004C1407" w:rsidRDefault="00000000">
            <w:pPr>
              <w:jc w:val="center"/>
            </w:pPr>
            <w:r>
              <w:rPr>
                <w:rFonts w:ascii="Times New Roman" w:eastAsia="宋体" w:hAnsi="Times New Roman" w:cs="Times New Roman"/>
                <w:b/>
                <w:color w:val="000000"/>
              </w:rPr>
              <w:t>RSK-01</w:t>
            </w:r>
          </w:p>
        </w:tc>
        <w:tc>
          <w:tcPr>
            <w:tcW w:w="445" w:type="dxa"/>
          </w:tcPr>
          <w:p w:rsidR="004C1407" w:rsidRDefault="00000000">
            <w:pPr>
              <w:jc w:val="center"/>
            </w:pPr>
            <w:r>
              <w:rPr>
                <w:rFonts w:ascii="Times New Roman" w:eastAsia="宋体" w:hAnsi="Times New Roman" w:cs="Times New Roman"/>
                <w:b/>
                <w:color w:val="000000"/>
              </w:rPr>
              <w:t>技术性能</w:t>
            </w:r>
          </w:p>
        </w:tc>
        <w:tc>
          <w:tcPr>
            <w:tcW w:w="1463" w:type="dxa"/>
          </w:tcPr>
          <w:p w:rsidR="004C140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lang w:eastAsia="zh-CN"/>
              </w:rPr>
              <w:t xml:space="preserve">UI </w:t>
            </w:r>
            <w:r>
              <w:rPr>
                <w:rFonts w:ascii="Times New Roman" w:eastAsia="宋体" w:hAnsi="Times New Roman" w:cs="Times New Roman"/>
                <w:b/>
                <w:color w:val="000000"/>
                <w:lang w:eastAsia="zh-CN"/>
              </w:rPr>
              <w:t>线程阻塞假死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PyTorch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张量推理与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OpenCV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解码耗时过长，导致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Qt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主事件循环无响应、界面掉帧。</w:t>
            </w:r>
          </w:p>
        </w:tc>
        <w:tc>
          <w:tcPr>
            <w:tcW w:w="461" w:type="dxa"/>
          </w:tcPr>
          <w:p w:rsidR="004C1407" w:rsidRDefault="00000000">
            <w:pPr>
              <w:jc w:val="center"/>
            </w:pPr>
            <w:r>
              <w:rPr>
                <w:rFonts w:ascii="Times New Roman" w:eastAsia="宋体" w:hAnsi="Times New Roman" w:cs="Times New Roman"/>
                <w:color w:val="000000"/>
              </w:rPr>
              <w:t>高</w:t>
            </w:r>
            <w:r>
              <w:rPr>
                <w:rFonts w:ascii="Times New Roman" w:eastAsia="宋体" w:hAnsi="Times New Roman" w:cs="Times New Roman"/>
                <w:color w:val="000000"/>
              </w:rPr>
              <w:t xml:space="preserve"> (3)</w:t>
            </w:r>
          </w:p>
        </w:tc>
        <w:tc>
          <w:tcPr>
            <w:tcW w:w="461" w:type="dxa"/>
          </w:tcPr>
          <w:p w:rsidR="004C1407" w:rsidRDefault="00000000">
            <w:pPr>
              <w:jc w:val="center"/>
            </w:pPr>
            <w:r>
              <w:rPr>
                <w:rFonts w:ascii="Times New Roman" w:eastAsia="宋体" w:hAnsi="Times New Roman" w:cs="Times New Roman"/>
                <w:color w:val="000000"/>
              </w:rPr>
              <w:t>极高</w:t>
            </w:r>
            <w:r>
              <w:rPr>
                <w:rFonts w:ascii="Times New Roman" w:eastAsia="宋体" w:hAnsi="Times New Roman" w:cs="Times New Roman"/>
                <w:color w:val="000000"/>
              </w:rPr>
              <w:t xml:space="preserve"> (4)</w:t>
            </w:r>
          </w:p>
        </w:tc>
        <w:tc>
          <w:tcPr>
            <w:tcW w:w="566" w:type="dxa"/>
          </w:tcPr>
          <w:p w:rsidR="004C1407" w:rsidRDefault="00000000">
            <w:pPr>
              <w:jc w:val="center"/>
            </w:pPr>
            <w:r>
              <w:rPr>
                <w:rFonts w:ascii="Times New Roman" w:eastAsia="宋体" w:hAnsi="Times New Roman" w:cs="Times New Roman"/>
                <w:b/>
                <w:color w:val="000000"/>
              </w:rPr>
              <w:t>高</w:t>
            </w:r>
            <w:r>
              <w:rPr>
                <w:rFonts w:ascii="Times New Roman" w:eastAsia="宋体" w:hAnsi="Times New Roman" w:cs="Times New Roman"/>
                <w:b/>
                <w:color w:val="000000"/>
              </w:rPr>
              <w:t xml:space="preserve"> (12)</w:t>
            </w:r>
          </w:p>
        </w:tc>
        <w:tc>
          <w:tcPr>
            <w:tcW w:w="1523" w:type="dxa"/>
          </w:tcPr>
          <w:p w:rsidR="004C140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1.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严格采用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lang w:eastAsia="zh-CN"/>
              </w:rPr>
              <w:t>QThread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将视频解码与模型推理移至独立后台工作线程；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2.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仅通过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Qt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线程安全的信号槽传递渲染图像与检测数据。</w:t>
            </w:r>
          </w:p>
        </w:tc>
        <w:tc>
          <w:tcPr>
            <w:tcW w:w="2056" w:type="dxa"/>
          </w:tcPr>
          <w:p w:rsidR="004C140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开启自适应隔帧检测（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Skip-frame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）机制：每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2~3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帧推理一次，中间帧快速插值渲染，确保主界面稳定在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</w:t>
            </w:r>
            <m:oMath>
              <m:r>
                <w:rPr>
                  <w:rFonts w:ascii="Cambria Math" w:hAnsi="Cambria Math"/>
                  <w:lang w:eastAsia="zh-CN"/>
                </w:rPr>
                <m:t>≥30</m:t>
              </m:r>
              <m:r>
                <m:rPr>
                  <m:lit/>
                </m:rPr>
                <w:rPr>
                  <w:rFonts w:ascii="Cambria Math" w:hAnsi="Cambria Math"/>
                  <w:lang w:eastAsia="zh-CN"/>
                </w:rPr>
                <m:t> FPS</m:t>
              </m:r>
            </m:oMath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。</w:t>
            </w:r>
          </w:p>
        </w:tc>
        <w:tc>
          <w:tcPr>
            <w:tcW w:w="823" w:type="dxa"/>
          </w:tcPr>
          <w:p w:rsidR="004C140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界面嵌入实时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FPS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计数器，严格保持主线程纯粹。</w:t>
            </w:r>
          </w:p>
        </w:tc>
      </w:tr>
      <w:tr w:rsidR="004C1407" w:rsidTr="003F3269">
        <w:tc>
          <w:tcPr>
            <w:tcW w:w="718" w:type="dxa"/>
          </w:tcPr>
          <w:p w:rsidR="004C1407" w:rsidRDefault="00000000">
            <w:pPr>
              <w:jc w:val="center"/>
            </w:pPr>
            <w:r>
              <w:rPr>
                <w:rFonts w:ascii="Times New Roman" w:eastAsia="宋体" w:hAnsi="Times New Roman" w:cs="Times New Roman"/>
                <w:b/>
                <w:color w:val="000000"/>
              </w:rPr>
              <w:t>RSK-02</w:t>
            </w:r>
          </w:p>
        </w:tc>
        <w:tc>
          <w:tcPr>
            <w:tcW w:w="445" w:type="dxa"/>
          </w:tcPr>
          <w:p w:rsidR="004C1407" w:rsidRDefault="00000000">
            <w:pPr>
              <w:jc w:val="center"/>
            </w:pPr>
            <w:r>
              <w:rPr>
                <w:rFonts w:ascii="Times New Roman" w:eastAsia="宋体" w:hAnsi="Times New Roman" w:cs="Times New Roman"/>
                <w:b/>
                <w:color w:val="000000"/>
              </w:rPr>
              <w:t>算法精度</w:t>
            </w:r>
          </w:p>
        </w:tc>
        <w:tc>
          <w:tcPr>
            <w:tcW w:w="1463" w:type="dxa"/>
          </w:tcPr>
          <w:p w:rsidR="004C140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lang w:eastAsia="zh-CN"/>
              </w:rPr>
              <w:t>桌面平放手机高频误报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传统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2D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目标检测框重叠将平放于桌面的手机误判为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低头玩手机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”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违规。</w:t>
            </w:r>
          </w:p>
        </w:tc>
        <w:tc>
          <w:tcPr>
            <w:tcW w:w="461" w:type="dxa"/>
          </w:tcPr>
          <w:p w:rsidR="004C1407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 w:cs="Times New Roman"/>
                <w:color w:val="000000"/>
              </w:rPr>
              <w:t>极高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</w:rPr>
              <w:t xml:space="preserve"> (4)</w:t>
            </w:r>
          </w:p>
        </w:tc>
        <w:tc>
          <w:tcPr>
            <w:tcW w:w="461" w:type="dxa"/>
          </w:tcPr>
          <w:p w:rsidR="004C1407" w:rsidRDefault="00000000">
            <w:pPr>
              <w:jc w:val="center"/>
            </w:pPr>
            <w:r>
              <w:rPr>
                <w:rFonts w:ascii="Times New Roman" w:eastAsia="宋体" w:hAnsi="Times New Roman" w:cs="Times New Roman"/>
                <w:color w:val="000000"/>
              </w:rPr>
              <w:t>高</w:t>
            </w:r>
            <w:r>
              <w:rPr>
                <w:rFonts w:ascii="Times New Roman" w:eastAsia="宋体" w:hAnsi="Times New Roman" w:cs="Times New Roman"/>
                <w:color w:val="000000"/>
              </w:rPr>
              <w:t xml:space="preserve"> (3)</w:t>
            </w:r>
          </w:p>
        </w:tc>
        <w:tc>
          <w:tcPr>
            <w:tcW w:w="566" w:type="dxa"/>
          </w:tcPr>
          <w:p w:rsidR="004C1407" w:rsidRDefault="00000000">
            <w:pPr>
              <w:jc w:val="center"/>
            </w:pPr>
            <w:r>
              <w:rPr>
                <w:rFonts w:ascii="Times New Roman" w:eastAsia="宋体" w:hAnsi="Times New Roman" w:cs="Times New Roman"/>
                <w:b/>
                <w:color w:val="000000"/>
              </w:rPr>
              <w:t>高</w:t>
            </w:r>
            <w:r>
              <w:rPr>
                <w:rFonts w:ascii="Times New Roman" w:eastAsia="宋体" w:hAnsi="Times New Roman" w:cs="Times New Roman"/>
                <w:b/>
                <w:color w:val="000000"/>
              </w:rPr>
              <w:t xml:space="preserve"> (12)</w:t>
            </w:r>
          </w:p>
        </w:tc>
        <w:tc>
          <w:tcPr>
            <w:tcW w:w="1523" w:type="dxa"/>
          </w:tcPr>
          <w:p w:rsidR="004C140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1.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引入轻量级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YOLOv8-Pose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提取人体左右手腕关键点；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&lt;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br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&gt;2.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计算手腕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手机尺度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lastRenderedPageBreak/>
              <w:t>归一化欧氏距离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lit/>
                    </m:rPr>
                    <w:rPr>
                      <w:rFonts w:ascii="Cambria Math" w:hAnsi="Cambria Math"/>
                      <w:lang w:eastAsia="zh-CN"/>
                    </w:rPr>
                    <m:t>Dist</m:t>
                  </m:r>
                </m:e>
                <m:sub>
                  <m:r>
                    <m:rPr>
                      <m:lit/>
                    </m:rPr>
                    <w:rPr>
                      <w:rFonts w:ascii="Cambria Math" w:hAnsi="Cambria Math"/>
                      <w:lang w:eastAsia="zh-CN"/>
                    </w:rPr>
                    <m:t>norm</m:t>
                  </m:r>
                </m:sub>
              </m:sSub>
            </m:oMath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（</w:t>
            </w:r>
            <m:oMath>
              <m:r>
                <w:rPr>
                  <w:rFonts w:ascii="Cambria Math" w:hAnsi="Cambria Math"/>
                  <w:lang w:eastAsia="zh-CN"/>
                </w:rPr>
                <m:t>&lt;0.20</m:t>
              </m:r>
            </m:oMath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判定手持，</w:t>
            </w:r>
            <m:oMath>
              <m:r>
                <w:rPr>
                  <w:rFonts w:ascii="Cambria Math" w:hAnsi="Cambria Math"/>
                  <w:lang w:eastAsia="zh-CN"/>
                </w:rPr>
                <m:t>≥0.20</m:t>
              </m:r>
            </m:oMath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判定桌上）；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3.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设立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5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帧时序防抖与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3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秒冷却时间。</w:t>
            </w:r>
          </w:p>
        </w:tc>
        <w:tc>
          <w:tcPr>
            <w:tcW w:w="2056" w:type="dxa"/>
          </w:tcPr>
          <w:p w:rsidR="004C140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lastRenderedPageBreak/>
              <w:t>若手腕关节点因近景遮挡丢失，自动回退至人体躯干相对高度区间（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Y</m:t>
                  </m:r>
                </m:e>
                <m:sub>
                  <m:r>
                    <m:rPr>
                      <m:lit/>
                    </m:rPr>
                    <w:rPr>
                      <w:rFonts w:ascii="Cambria Math" w:hAnsi="Cambria Math"/>
                      <w:lang w:eastAsia="zh-CN"/>
                    </w:rPr>
                    <m:t>rel</m:t>
                  </m:r>
                </m:sub>
              </m:sSub>
              <m:r>
                <w:rPr>
                  <w:rFonts w:ascii="Cambria Math" w:hAnsi="Cambria Math"/>
                  <w:lang w:eastAsia="zh-CN"/>
                </w:rPr>
                <m:t>∈[0.15,0.80]</m:t>
              </m:r>
            </m:oMath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）进行辅助几何判定。</w:t>
            </w:r>
          </w:p>
        </w:tc>
        <w:tc>
          <w:tcPr>
            <w:tcW w:w="823" w:type="dxa"/>
          </w:tcPr>
          <w:p w:rsidR="004C140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单元测试构建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平放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”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与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手持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”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基准测试集，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lastRenderedPageBreak/>
              <w:t>回归验证准确率。</w:t>
            </w:r>
          </w:p>
        </w:tc>
      </w:tr>
      <w:tr w:rsidR="004C1407" w:rsidTr="003F3269">
        <w:tc>
          <w:tcPr>
            <w:tcW w:w="718" w:type="dxa"/>
          </w:tcPr>
          <w:p w:rsidR="004C1407" w:rsidRDefault="00000000">
            <w:pPr>
              <w:jc w:val="center"/>
            </w:pPr>
            <w:r>
              <w:rPr>
                <w:rFonts w:ascii="Times New Roman" w:eastAsia="宋体" w:hAnsi="Times New Roman" w:cs="Times New Roman"/>
                <w:b/>
                <w:color w:val="000000"/>
              </w:rPr>
              <w:lastRenderedPageBreak/>
              <w:t>RSK-03</w:t>
            </w:r>
          </w:p>
        </w:tc>
        <w:tc>
          <w:tcPr>
            <w:tcW w:w="445" w:type="dxa"/>
          </w:tcPr>
          <w:p w:rsidR="004C1407" w:rsidRDefault="00000000">
            <w:pPr>
              <w:jc w:val="center"/>
            </w:pPr>
            <w:r>
              <w:rPr>
                <w:rFonts w:ascii="Times New Roman" w:eastAsia="宋体" w:hAnsi="Times New Roman" w:cs="Times New Roman"/>
                <w:b/>
                <w:color w:val="000000"/>
              </w:rPr>
              <w:t>答辩演示</w:t>
            </w:r>
          </w:p>
        </w:tc>
        <w:tc>
          <w:tcPr>
            <w:tcW w:w="1463" w:type="dxa"/>
          </w:tcPr>
          <w:p w:rsidR="004C140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lang w:eastAsia="zh-CN"/>
              </w:rPr>
              <w:t>现场演示翻车与设备故障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现场答辩缺少物理外接摄像头、会场光线昏暗或摄像头硬件驱动冲突。</w:t>
            </w:r>
          </w:p>
        </w:tc>
        <w:tc>
          <w:tcPr>
            <w:tcW w:w="461" w:type="dxa"/>
          </w:tcPr>
          <w:p w:rsidR="004C1407" w:rsidRDefault="00000000">
            <w:pPr>
              <w:jc w:val="center"/>
            </w:pPr>
            <w:r>
              <w:rPr>
                <w:rFonts w:ascii="Times New Roman" w:eastAsia="宋体" w:hAnsi="Times New Roman" w:cs="Times New Roman"/>
                <w:color w:val="000000"/>
              </w:rPr>
              <w:t>中</w:t>
            </w:r>
            <w:r>
              <w:rPr>
                <w:rFonts w:ascii="Times New Roman" w:eastAsia="宋体" w:hAnsi="Times New Roman" w:cs="Times New Roman"/>
                <w:color w:val="000000"/>
              </w:rPr>
              <w:t xml:space="preserve"> (2)</w:t>
            </w:r>
          </w:p>
        </w:tc>
        <w:tc>
          <w:tcPr>
            <w:tcW w:w="461" w:type="dxa"/>
          </w:tcPr>
          <w:p w:rsidR="004C1407" w:rsidRDefault="00000000">
            <w:pPr>
              <w:jc w:val="center"/>
            </w:pPr>
            <w:r>
              <w:rPr>
                <w:rFonts w:ascii="Times New Roman" w:eastAsia="宋体" w:hAnsi="Times New Roman" w:cs="Times New Roman"/>
                <w:color w:val="000000"/>
              </w:rPr>
              <w:t>极高</w:t>
            </w:r>
            <w:r>
              <w:rPr>
                <w:rFonts w:ascii="Times New Roman" w:eastAsia="宋体" w:hAnsi="Times New Roman" w:cs="Times New Roman"/>
                <w:color w:val="000000"/>
              </w:rPr>
              <w:t xml:space="preserve"> (4)</w:t>
            </w:r>
          </w:p>
        </w:tc>
        <w:tc>
          <w:tcPr>
            <w:tcW w:w="566" w:type="dxa"/>
          </w:tcPr>
          <w:p w:rsidR="004C1407" w:rsidRDefault="00000000">
            <w:pPr>
              <w:jc w:val="center"/>
            </w:pPr>
            <w:r>
              <w:rPr>
                <w:rFonts w:ascii="Times New Roman" w:eastAsia="宋体" w:hAnsi="Times New Roman" w:cs="Times New Roman"/>
                <w:b/>
                <w:color w:val="000000"/>
              </w:rPr>
              <w:t>高</w:t>
            </w:r>
            <w:r>
              <w:rPr>
                <w:rFonts w:ascii="Times New Roman" w:eastAsia="宋体" w:hAnsi="Times New Roman" w:cs="Times New Roman"/>
                <w:b/>
                <w:color w:val="000000"/>
              </w:rPr>
              <w:t xml:space="preserve"> (8)</w:t>
            </w:r>
          </w:p>
        </w:tc>
        <w:tc>
          <w:tcPr>
            <w:tcW w:w="1523" w:type="dxa"/>
          </w:tcPr>
          <w:p w:rsidR="004C140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1.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系统底层设计支持摄像头、本地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MP4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视频与内置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Demo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演示包三模式无缝切换；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2.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随源码打包预置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3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套标准测试视频（正常开会、低头玩手机、动态离席）与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20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人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Mock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名单。</w:t>
            </w:r>
          </w:p>
        </w:tc>
        <w:tc>
          <w:tcPr>
            <w:tcW w:w="2056" w:type="dxa"/>
          </w:tcPr>
          <w:p w:rsidR="004C140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界面设置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一键演示模式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”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快捷按钮，无需物理外设即可一键启动完整闭环演示；录制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1080P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高清全流程演示视频作为终极保底。</w:t>
            </w:r>
          </w:p>
        </w:tc>
        <w:tc>
          <w:tcPr>
            <w:tcW w:w="823" w:type="dxa"/>
          </w:tcPr>
          <w:p w:rsidR="004C140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答辩前在脱机无摄像头环境下进行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3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次全流程冒烟演练。</w:t>
            </w:r>
          </w:p>
        </w:tc>
      </w:tr>
      <w:tr w:rsidR="004C1407" w:rsidTr="003F3269">
        <w:tc>
          <w:tcPr>
            <w:tcW w:w="718" w:type="dxa"/>
          </w:tcPr>
          <w:p w:rsidR="004C1407" w:rsidRDefault="00000000">
            <w:pPr>
              <w:jc w:val="center"/>
            </w:pPr>
            <w:r>
              <w:rPr>
                <w:rFonts w:ascii="Times New Roman" w:eastAsia="宋体" w:hAnsi="Times New Roman" w:cs="Times New Roman"/>
                <w:b/>
                <w:color w:val="000000"/>
              </w:rPr>
              <w:t>RSK-04</w:t>
            </w:r>
          </w:p>
        </w:tc>
        <w:tc>
          <w:tcPr>
            <w:tcW w:w="445" w:type="dxa"/>
          </w:tcPr>
          <w:p w:rsidR="004C1407" w:rsidRDefault="00000000">
            <w:pPr>
              <w:jc w:val="center"/>
            </w:pPr>
            <w:r>
              <w:rPr>
                <w:rFonts w:ascii="Times New Roman" w:eastAsia="宋体" w:hAnsi="Times New Roman" w:cs="Times New Roman"/>
                <w:b/>
                <w:color w:val="000000"/>
              </w:rPr>
              <w:t>进度管理</w:t>
            </w:r>
          </w:p>
        </w:tc>
        <w:tc>
          <w:tcPr>
            <w:tcW w:w="1463" w:type="dxa"/>
          </w:tcPr>
          <w:p w:rsidR="004C140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lang w:eastAsia="zh-CN"/>
              </w:rPr>
              <w:t>单人开发工期滞后与需求蔓延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过度设计（如执着于自训人脸底库、多工位复杂标定）导致无法在实训周期内闭环交付。</w:t>
            </w:r>
          </w:p>
        </w:tc>
        <w:tc>
          <w:tcPr>
            <w:tcW w:w="461" w:type="dxa"/>
          </w:tcPr>
          <w:p w:rsidR="004C1407" w:rsidRDefault="00000000">
            <w:pPr>
              <w:jc w:val="center"/>
            </w:pPr>
            <w:r>
              <w:rPr>
                <w:rFonts w:ascii="Times New Roman" w:eastAsia="宋体" w:hAnsi="Times New Roman" w:cs="Times New Roman"/>
                <w:color w:val="000000"/>
              </w:rPr>
              <w:t>中</w:t>
            </w:r>
            <w:r>
              <w:rPr>
                <w:rFonts w:ascii="Times New Roman" w:eastAsia="宋体" w:hAnsi="Times New Roman" w:cs="Times New Roman"/>
                <w:color w:val="000000"/>
              </w:rPr>
              <w:t xml:space="preserve"> (2)</w:t>
            </w:r>
          </w:p>
        </w:tc>
        <w:tc>
          <w:tcPr>
            <w:tcW w:w="461" w:type="dxa"/>
          </w:tcPr>
          <w:p w:rsidR="004C1407" w:rsidRDefault="00000000">
            <w:pPr>
              <w:jc w:val="center"/>
            </w:pPr>
            <w:r>
              <w:rPr>
                <w:rFonts w:ascii="Times New Roman" w:eastAsia="宋体" w:hAnsi="Times New Roman" w:cs="Times New Roman"/>
                <w:color w:val="000000"/>
              </w:rPr>
              <w:t>高</w:t>
            </w:r>
            <w:r>
              <w:rPr>
                <w:rFonts w:ascii="Times New Roman" w:eastAsia="宋体" w:hAnsi="Times New Roman" w:cs="Times New Roman"/>
                <w:color w:val="000000"/>
              </w:rPr>
              <w:t xml:space="preserve"> (3)</w:t>
            </w:r>
          </w:p>
        </w:tc>
        <w:tc>
          <w:tcPr>
            <w:tcW w:w="566" w:type="dxa"/>
          </w:tcPr>
          <w:p w:rsidR="004C1407" w:rsidRDefault="00000000">
            <w:pPr>
              <w:jc w:val="center"/>
            </w:pPr>
            <w:r>
              <w:rPr>
                <w:rFonts w:ascii="Times New Roman" w:eastAsia="宋体" w:hAnsi="Times New Roman" w:cs="Times New Roman"/>
                <w:b/>
                <w:color w:val="000000"/>
              </w:rPr>
              <w:t>中</w:t>
            </w:r>
            <w:r>
              <w:rPr>
                <w:rFonts w:ascii="Times New Roman" w:eastAsia="宋体" w:hAnsi="Times New Roman" w:cs="Times New Roman"/>
                <w:b/>
                <w:color w:val="000000"/>
              </w:rPr>
              <w:t xml:space="preserve"> (6)</w:t>
            </w:r>
          </w:p>
        </w:tc>
        <w:tc>
          <w:tcPr>
            <w:tcW w:w="1523" w:type="dxa"/>
          </w:tcPr>
          <w:p w:rsidR="004C140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1.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果断实施范围裁剪（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ADR 0002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彻底裁剪人脸识别与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dlib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依赖，聚焦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YOLO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通用感知）；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2.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采用开箱即用的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COCO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预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lastRenderedPageBreak/>
              <w:t>训练权重，免除人工采集标注与训练耗时。</w:t>
            </w:r>
          </w:p>
        </w:tc>
        <w:tc>
          <w:tcPr>
            <w:tcW w:w="2056" w:type="dxa"/>
          </w:tcPr>
          <w:p w:rsidR="004C140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lastRenderedPageBreak/>
              <w:t>严格执行敏捷甘特图里程碑门禁（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Stage-Gate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），坚决不接纳计划外的重度特性，优先确保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检测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追踪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抓拍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报表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”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核心闭环。</w:t>
            </w:r>
          </w:p>
        </w:tc>
        <w:tc>
          <w:tcPr>
            <w:tcW w:w="823" w:type="dxa"/>
          </w:tcPr>
          <w:p w:rsidR="004C140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每日对照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WBS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任务清单自查，每周五进行阶段验收评审。</w:t>
            </w:r>
          </w:p>
        </w:tc>
      </w:tr>
      <w:tr w:rsidR="004C1407" w:rsidTr="003F3269">
        <w:tc>
          <w:tcPr>
            <w:tcW w:w="718" w:type="dxa"/>
          </w:tcPr>
          <w:p w:rsidR="004C1407" w:rsidRDefault="00000000">
            <w:pPr>
              <w:jc w:val="center"/>
            </w:pPr>
            <w:r>
              <w:rPr>
                <w:rFonts w:ascii="Times New Roman" w:eastAsia="宋体" w:hAnsi="Times New Roman" w:cs="Times New Roman"/>
                <w:b/>
                <w:color w:val="000000"/>
              </w:rPr>
              <w:lastRenderedPageBreak/>
              <w:t>RSK-05</w:t>
            </w:r>
          </w:p>
        </w:tc>
        <w:tc>
          <w:tcPr>
            <w:tcW w:w="445" w:type="dxa"/>
          </w:tcPr>
          <w:p w:rsidR="004C1407" w:rsidRDefault="00000000">
            <w:pPr>
              <w:jc w:val="center"/>
            </w:pPr>
            <w:r>
              <w:rPr>
                <w:rFonts w:ascii="Times New Roman" w:eastAsia="宋体" w:hAnsi="Times New Roman" w:cs="Times New Roman"/>
                <w:b/>
                <w:color w:val="000000"/>
              </w:rPr>
              <w:t>部署发布</w:t>
            </w:r>
          </w:p>
        </w:tc>
        <w:tc>
          <w:tcPr>
            <w:tcW w:w="1463" w:type="dxa"/>
          </w:tcPr>
          <w:p w:rsidR="004C1407" w:rsidRDefault="00000000">
            <w:proofErr w:type="spellStart"/>
            <w:r>
              <w:rPr>
                <w:rFonts w:ascii="Times New Roman" w:eastAsia="宋体" w:hAnsi="Times New Roman" w:cs="Times New Roman"/>
                <w:b/>
                <w:color w:val="000000"/>
              </w:rPr>
              <w:t>PyInstaller</w:t>
            </w:r>
            <w:proofErr w:type="spellEnd"/>
            <w:r>
              <w:rPr>
                <w:rFonts w:ascii="Times New Roman" w:eastAsia="宋体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宋体" w:hAnsi="Times New Roman" w:cs="Times New Roman"/>
                <w:b/>
                <w:color w:val="000000"/>
              </w:rPr>
              <w:t>跨平台打包失败</w:t>
            </w:r>
            <w:r>
              <w:rPr>
                <w:rFonts w:ascii="Times New Roman" w:eastAsia="宋体" w:hAnsi="Times New Roman" w:cs="Times New Roman"/>
                <w:color w:val="000000"/>
              </w:rPr>
              <w:t>打包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</w:rPr>
              <w:t>PyTorch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</w:rPr>
              <w:t>或</w:t>
            </w:r>
            <w:r>
              <w:rPr>
                <w:rFonts w:ascii="Times New Roman" w:eastAsia="宋体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</w:rPr>
              <w:t>Ultralytics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</w:rPr>
              <w:t>时出现隐藏导入缺失、动态链接库</w:t>
            </w:r>
            <w:r>
              <w:rPr>
                <w:rFonts w:ascii="Times New Roman" w:eastAsia="宋体" w:hAnsi="Times New Roman" w:cs="Times New Roman"/>
                <w:color w:val="000000"/>
              </w:rPr>
              <w:t xml:space="preserve"> (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.dll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</w:rPr>
              <w:t>/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.dylib</w:t>
            </w:r>
            <w:proofErr w:type="gramEnd"/>
            <w:r>
              <w:rPr>
                <w:rFonts w:ascii="Times New Roman" w:eastAsia="宋体" w:hAnsi="Times New Roman" w:cs="Times New Roman"/>
                <w:color w:val="000000"/>
              </w:rPr>
              <w:t xml:space="preserve">) </w:t>
            </w:r>
            <w:r>
              <w:rPr>
                <w:rFonts w:ascii="Times New Roman" w:eastAsia="宋体" w:hAnsi="Times New Roman" w:cs="Times New Roman"/>
                <w:color w:val="000000"/>
              </w:rPr>
              <w:t>报错。</w:t>
            </w:r>
          </w:p>
        </w:tc>
        <w:tc>
          <w:tcPr>
            <w:tcW w:w="461" w:type="dxa"/>
          </w:tcPr>
          <w:p w:rsidR="004C1407" w:rsidRDefault="00000000">
            <w:pPr>
              <w:jc w:val="center"/>
            </w:pPr>
            <w:r>
              <w:rPr>
                <w:rFonts w:ascii="Times New Roman" w:eastAsia="宋体" w:hAnsi="Times New Roman" w:cs="Times New Roman"/>
                <w:color w:val="000000"/>
              </w:rPr>
              <w:t>中</w:t>
            </w:r>
            <w:r>
              <w:rPr>
                <w:rFonts w:ascii="Times New Roman" w:eastAsia="宋体" w:hAnsi="Times New Roman" w:cs="Times New Roman"/>
                <w:color w:val="000000"/>
              </w:rPr>
              <w:t xml:space="preserve"> (2)</w:t>
            </w:r>
          </w:p>
        </w:tc>
        <w:tc>
          <w:tcPr>
            <w:tcW w:w="461" w:type="dxa"/>
          </w:tcPr>
          <w:p w:rsidR="004C1407" w:rsidRDefault="00000000">
            <w:pPr>
              <w:jc w:val="center"/>
            </w:pPr>
            <w:r>
              <w:rPr>
                <w:rFonts w:ascii="Times New Roman" w:eastAsia="宋体" w:hAnsi="Times New Roman" w:cs="Times New Roman"/>
                <w:color w:val="000000"/>
              </w:rPr>
              <w:t>中</w:t>
            </w:r>
            <w:r>
              <w:rPr>
                <w:rFonts w:ascii="Times New Roman" w:eastAsia="宋体" w:hAnsi="Times New Roman" w:cs="Times New Roman"/>
                <w:color w:val="000000"/>
              </w:rPr>
              <w:t xml:space="preserve"> (2)</w:t>
            </w:r>
          </w:p>
        </w:tc>
        <w:tc>
          <w:tcPr>
            <w:tcW w:w="566" w:type="dxa"/>
          </w:tcPr>
          <w:p w:rsidR="004C1407" w:rsidRDefault="00000000">
            <w:pPr>
              <w:jc w:val="center"/>
            </w:pPr>
            <w:r>
              <w:rPr>
                <w:rFonts w:ascii="Times New Roman" w:eastAsia="宋体" w:hAnsi="Times New Roman" w:cs="Times New Roman"/>
                <w:b/>
                <w:color w:val="000000"/>
              </w:rPr>
              <w:t>中</w:t>
            </w:r>
            <w:r>
              <w:rPr>
                <w:rFonts w:ascii="Times New Roman" w:eastAsia="宋体" w:hAnsi="Times New Roman" w:cs="Times New Roman"/>
                <w:b/>
                <w:color w:val="000000"/>
              </w:rPr>
              <w:t xml:space="preserve"> (4)</w:t>
            </w:r>
          </w:p>
        </w:tc>
        <w:tc>
          <w:tcPr>
            <w:tcW w:w="1523" w:type="dxa"/>
          </w:tcPr>
          <w:p w:rsidR="004C140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1.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采用纯净虚拟环境（</w:t>
            </w:r>
            <w:r>
              <w:rPr>
                <w:rFonts w:ascii="Consolas" w:eastAsia="Consolas" w:hAnsi="Consolas" w:cs="Consolas"/>
                <w:sz w:val="20"/>
                <w:szCs w:val="20"/>
                <w:lang w:eastAsia="zh-CN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lang w:eastAsia="zh-CN"/>
              </w:rPr>
              <w:t>venv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）进行依赖收敛；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2.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编写标准化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  <w:szCs w:val="20"/>
                <w:lang w:eastAsia="zh-CN"/>
              </w:rPr>
              <w:t>.spec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打包脚本，显式声明包含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  <w:szCs w:val="20"/>
                <w:lang w:eastAsia="zh-CN"/>
              </w:rPr>
              <w:t>.pt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权重文件、数据目录与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QSS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样式表。</w:t>
            </w:r>
          </w:p>
        </w:tc>
        <w:tc>
          <w:tcPr>
            <w:tcW w:w="2056" w:type="dxa"/>
          </w:tcPr>
          <w:p w:rsidR="004C140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提前在实训阶段四（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9.16-9.18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）提前启动打包冒烟测试，预留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2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周缓冲期；提供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Windows/macOS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双平台一键运行脚本作为备选。</w:t>
            </w:r>
          </w:p>
        </w:tc>
        <w:tc>
          <w:tcPr>
            <w:tcW w:w="823" w:type="dxa"/>
          </w:tcPr>
          <w:p w:rsidR="004C140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在干净的无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Python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环境虚拟机中测试双击启动。</w:t>
            </w:r>
          </w:p>
        </w:tc>
      </w:tr>
      <w:tr w:rsidR="004C1407" w:rsidTr="003F3269">
        <w:tc>
          <w:tcPr>
            <w:tcW w:w="718" w:type="dxa"/>
          </w:tcPr>
          <w:p w:rsidR="004C1407" w:rsidRDefault="00000000">
            <w:pPr>
              <w:jc w:val="center"/>
            </w:pPr>
            <w:r>
              <w:rPr>
                <w:rFonts w:ascii="Times New Roman" w:eastAsia="宋体" w:hAnsi="Times New Roman" w:cs="Times New Roman"/>
                <w:b/>
                <w:color w:val="000000"/>
              </w:rPr>
              <w:t>RSK-06</w:t>
            </w:r>
          </w:p>
        </w:tc>
        <w:tc>
          <w:tcPr>
            <w:tcW w:w="445" w:type="dxa"/>
          </w:tcPr>
          <w:p w:rsidR="004C1407" w:rsidRDefault="00000000">
            <w:pPr>
              <w:jc w:val="center"/>
            </w:pPr>
            <w:r>
              <w:rPr>
                <w:rFonts w:ascii="Times New Roman" w:eastAsia="宋体" w:hAnsi="Times New Roman" w:cs="Times New Roman"/>
                <w:b/>
                <w:color w:val="000000"/>
              </w:rPr>
              <w:t>算法追踪</w:t>
            </w:r>
          </w:p>
        </w:tc>
        <w:tc>
          <w:tcPr>
            <w:tcW w:w="1463" w:type="dxa"/>
          </w:tcPr>
          <w:p w:rsidR="004C1407" w:rsidRDefault="00000000">
            <w:r>
              <w:rPr>
                <w:rFonts w:ascii="Times New Roman" w:eastAsia="宋体" w:hAnsi="Times New Roman" w:cs="Times New Roman"/>
                <w:b/>
                <w:color w:val="000000"/>
              </w:rPr>
              <w:t>多目标</w:t>
            </w:r>
            <w:r>
              <w:rPr>
                <w:rFonts w:ascii="Times New Roman" w:eastAsia="宋体" w:hAnsi="Times New Roman" w:cs="Times New Roman"/>
                <w:b/>
                <w:color w:val="000000"/>
              </w:rPr>
              <w:t xml:space="preserve"> ID </w:t>
            </w:r>
            <w:proofErr w:type="spellStart"/>
            <w:r>
              <w:rPr>
                <w:rFonts w:ascii="Times New Roman" w:eastAsia="宋体" w:hAnsi="Times New Roman" w:cs="Times New Roman"/>
                <w:b/>
                <w:color w:val="000000"/>
              </w:rPr>
              <w:t>漂移</w:t>
            </w:r>
            <w:proofErr w:type="spellEnd"/>
            <w:r>
              <w:rPr>
                <w:rFonts w:ascii="Times New Roman" w:eastAsia="宋体" w:hAnsi="Times New Roman" w:cs="Times New Roman"/>
                <w:b/>
                <w:color w:val="000000"/>
              </w:rPr>
              <w:t xml:space="preserve"> (ID </w:t>
            </w:r>
            <w:proofErr w:type="gramStart"/>
            <w:r>
              <w:rPr>
                <w:rFonts w:ascii="Times New Roman" w:eastAsia="宋体" w:hAnsi="Times New Roman" w:cs="Times New Roman"/>
                <w:b/>
                <w:color w:val="000000"/>
              </w:rPr>
              <w:t>Switch)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</w:rPr>
              <w:t>参会人员互相遮挡</w:t>
            </w:r>
            <w:proofErr w:type="gramEnd"/>
            <w:r>
              <w:rPr>
                <w:rFonts w:ascii="Times New Roman" w:eastAsia="宋体" w:hAnsi="Times New Roman" w:cs="Times New Roman"/>
                <w:color w:val="000000"/>
              </w:rPr>
              <w:t>、大幅度转身或快速走动导致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</w:rPr>
              <w:t>TrackingID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</w:rPr>
              <w:t>频繁跳变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</w:rPr>
              <w:t>。</w:t>
            </w:r>
          </w:p>
        </w:tc>
        <w:tc>
          <w:tcPr>
            <w:tcW w:w="461" w:type="dxa"/>
          </w:tcPr>
          <w:p w:rsidR="004C1407" w:rsidRDefault="00000000">
            <w:pPr>
              <w:jc w:val="center"/>
            </w:pPr>
            <w:r>
              <w:rPr>
                <w:rFonts w:ascii="Times New Roman" w:eastAsia="宋体" w:hAnsi="Times New Roman" w:cs="Times New Roman"/>
                <w:color w:val="000000"/>
              </w:rPr>
              <w:t>中</w:t>
            </w:r>
            <w:r>
              <w:rPr>
                <w:rFonts w:ascii="Times New Roman" w:eastAsia="宋体" w:hAnsi="Times New Roman" w:cs="Times New Roman"/>
                <w:color w:val="000000"/>
              </w:rPr>
              <w:t xml:space="preserve"> (2)</w:t>
            </w:r>
          </w:p>
        </w:tc>
        <w:tc>
          <w:tcPr>
            <w:tcW w:w="461" w:type="dxa"/>
          </w:tcPr>
          <w:p w:rsidR="004C1407" w:rsidRDefault="00000000">
            <w:pPr>
              <w:jc w:val="center"/>
            </w:pPr>
            <w:r>
              <w:rPr>
                <w:rFonts w:ascii="Times New Roman" w:eastAsia="宋体" w:hAnsi="Times New Roman" w:cs="Times New Roman"/>
                <w:color w:val="000000"/>
              </w:rPr>
              <w:t>低</w:t>
            </w:r>
            <w:r>
              <w:rPr>
                <w:rFonts w:ascii="Times New Roman" w:eastAsia="宋体" w:hAnsi="Times New Roman" w:cs="Times New Roman"/>
                <w:color w:val="000000"/>
              </w:rPr>
              <w:t xml:space="preserve"> (1)</w:t>
            </w:r>
          </w:p>
        </w:tc>
        <w:tc>
          <w:tcPr>
            <w:tcW w:w="566" w:type="dxa"/>
          </w:tcPr>
          <w:p w:rsidR="004C1407" w:rsidRDefault="00000000">
            <w:pPr>
              <w:jc w:val="center"/>
            </w:pPr>
            <w:r>
              <w:rPr>
                <w:rFonts w:ascii="Times New Roman" w:eastAsia="宋体" w:hAnsi="Times New Roman" w:cs="Times New Roman"/>
                <w:b/>
                <w:color w:val="000000"/>
              </w:rPr>
              <w:t>低</w:t>
            </w:r>
            <w:r>
              <w:rPr>
                <w:rFonts w:ascii="Times New Roman" w:eastAsia="宋体" w:hAnsi="Times New Roman" w:cs="Times New Roman"/>
                <w:b/>
                <w:color w:val="000000"/>
              </w:rPr>
              <w:t xml:space="preserve"> (2)</w:t>
            </w:r>
          </w:p>
        </w:tc>
        <w:tc>
          <w:tcPr>
            <w:tcW w:w="1523" w:type="dxa"/>
          </w:tcPr>
          <w:p w:rsidR="004C140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1.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选用学术前沿的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ByteTrack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多目标追踪器，充分利用低置信度检测框进行二次关联匹配；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&lt;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br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&gt;2.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设置轨迹丢失保持缓冲（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Buffer </w:t>
            </w:r>
            <m:oMath>
              <m:r>
                <w:rPr>
                  <w:rFonts w:ascii="Cambria Math" w:hAnsi="Cambria Math"/>
                  <w:lang w:eastAsia="zh-CN"/>
                </w:rPr>
                <m:t>≥30</m:t>
              </m:r>
            </m:oMath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帧）。</w:t>
            </w:r>
          </w:p>
        </w:tc>
        <w:tc>
          <w:tcPr>
            <w:tcW w:w="2056" w:type="dxa"/>
          </w:tcPr>
          <w:p w:rsidR="004C140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界面提供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重置追踪编号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”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快捷键；支持考勤员在必要时手动将当前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  <w:szCs w:val="20"/>
                <w:lang w:eastAsia="zh-CN"/>
              </w:rPr>
              <w:t>#ID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映射绑定至花名册。</w:t>
            </w:r>
          </w:p>
        </w:tc>
        <w:tc>
          <w:tcPr>
            <w:tcW w:w="823" w:type="dxa"/>
          </w:tcPr>
          <w:p w:rsidR="004C140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视频回放时观察人物框在交叉走动时的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ID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连续性。</w:t>
            </w:r>
          </w:p>
        </w:tc>
      </w:tr>
      <w:tr w:rsidR="004C1407" w:rsidTr="003F3269">
        <w:tc>
          <w:tcPr>
            <w:tcW w:w="718" w:type="dxa"/>
          </w:tcPr>
          <w:p w:rsidR="004C1407" w:rsidRDefault="00000000">
            <w:pPr>
              <w:jc w:val="center"/>
            </w:pPr>
            <w:r>
              <w:rPr>
                <w:rFonts w:ascii="Times New Roman" w:eastAsia="宋体" w:hAnsi="Times New Roman" w:cs="Times New Roman"/>
                <w:b/>
                <w:color w:val="000000"/>
              </w:rPr>
              <w:t>RSK-07</w:t>
            </w:r>
          </w:p>
        </w:tc>
        <w:tc>
          <w:tcPr>
            <w:tcW w:w="445" w:type="dxa"/>
          </w:tcPr>
          <w:p w:rsidR="004C1407" w:rsidRDefault="00000000">
            <w:pPr>
              <w:jc w:val="center"/>
            </w:pPr>
            <w:r>
              <w:rPr>
                <w:rFonts w:ascii="Times New Roman" w:eastAsia="宋体" w:hAnsi="Times New Roman" w:cs="Times New Roman"/>
                <w:b/>
                <w:color w:val="000000"/>
              </w:rPr>
              <w:t>数据持久化</w:t>
            </w:r>
          </w:p>
        </w:tc>
        <w:tc>
          <w:tcPr>
            <w:tcW w:w="1463" w:type="dxa"/>
          </w:tcPr>
          <w:p w:rsidR="004C1407" w:rsidRDefault="00000000">
            <w:r>
              <w:rPr>
                <w:rFonts w:ascii="Times New Roman" w:eastAsia="宋体" w:hAnsi="Times New Roman" w:cs="Times New Roman"/>
                <w:b/>
                <w:color w:val="000000"/>
              </w:rPr>
              <w:t xml:space="preserve">SQLite </w:t>
            </w:r>
            <w:proofErr w:type="spellStart"/>
            <w:r>
              <w:rPr>
                <w:rFonts w:ascii="Times New Roman" w:eastAsia="宋体" w:hAnsi="Times New Roman" w:cs="Times New Roman"/>
                <w:b/>
                <w:color w:val="000000"/>
              </w:rPr>
              <w:t>数据库异常与并发锁表</w:t>
            </w:r>
            <w:proofErr w:type="spellEnd"/>
            <w:r w:rsidR="003F3269">
              <w:rPr>
                <w:rFonts w:ascii="Times New Roman" w:eastAsia="宋体" w:hAnsi="Times New Roman" w:cs="Times New Roman" w:hint="eastAsia"/>
                <w:b/>
                <w:color w:val="00000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</w:rPr>
              <w:t>本地数据库文件被误删、损坏，或后台工作线程与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</w:rPr>
              <w:t xml:space="preserve"> UI 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</w:rPr>
              <w:t>线程同时写入引发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database is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>locked</w:t>
            </w:r>
            <w:r>
              <w:rPr>
                <w:rFonts w:ascii="Times New Roman" w:eastAsia="宋体" w:hAnsi="Times New Roman" w:cs="Times New Roman"/>
                <w:color w:val="000000"/>
              </w:rPr>
              <w:t>。</w:t>
            </w:r>
          </w:p>
        </w:tc>
        <w:tc>
          <w:tcPr>
            <w:tcW w:w="461" w:type="dxa"/>
          </w:tcPr>
          <w:p w:rsidR="004C1407" w:rsidRDefault="00000000">
            <w:pPr>
              <w:jc w:val="center"/>
            </w:pPr>
            <w:r>
              <w:rPr>
                <w:rFonts w:ascii="Times New Roman" w:eastAsia="宋体" w:hAnsi="Times New Roman" w:cs="Times New Roman"/>
                <w:color w:val="000000"/>
              </w:rPr>
              <w:lastRenderedPageBreak/>
              <w:t>低</w:t>
            </w:r>
            <w:r>
              <w:rPr>
                <w:rFonts w:ascii="Times New Roman" w:eastAsia="宋体" w:hAnsi="Times New Roman" w:cs="Times New Roman"/>
                <w:color w:val="000000"/>
              </w:rPr>
              <w:t xml:space="preserve"> (1)</w:t>
            </w:r>
          </w:p>
        </w:tc>
        <w:tc>
          <w:tcPr>
            <w:tcW w:w="461" w:type="dxa"/>
          </w:tcPr>
          <w:p w:rsidR="004C1407" w:rsidRDefault="00000000">
            <w:pPr>
              <w:jc w:val="center"/>
            </w:pPr>
            <w:r>
              <w:rPr>
                <w:rFonts w:ascii="Times New Roman" w:eastAsia="宋体" w:hAnsi="Times New Roman" w:cs="Times New Roman"/>
                <w:color w:val="000000"/>
              </w:rPr>
              <w:t>中</w:t>
            </w:r>
            <w:r>
              <w:rPr>
                <w:rFonts w:ascii="Times New Roman" w:eastAsia="宋体" w:hAnsi="Times New Roman" w:cs="Times New Roman"/>
                <w:color w:val="000000"/>
              </w:rPr>
              <w:t xml:space="preserve"> (2)</w:t>
            </w:r>
          </w:p>
        </w:tc>
        <w:tc>
          <w:tcPr>
            <w:tcW w:w="566" w:type="dxa"/>
          </w:tcPr>
          <w:p w:rsidR="004C1407" w:rsidRDefault="00000000">
            <w:pPr>
              <w:jc w:val="center"/>
            </w:pPr>
            <w:r>
              <w:rPr>
                <w:rFonts w:ascii="Times New Roman" w:eastAsia="宋体" w:hAnsi="Times New Roman" w:cs="Times New Roman"/>
                <w:b/>
                <w:color w:val="000000"/>
              </w:rPr>
              <w:t>低</w:t>
            </w:r>
            <w:r>
              <w:rPr>
                <w:rFonts w:ascii="Times New Roman" w:eastAsia="宋体" w:hAnsi="Times New Roman" w:cs="Times New Roman"/>
                <w:b/>
                <w:color w:val="000000"/>
              </w:rPr>
              <w:t xml:space="preserve"> (2)</w:t>
            </w:r>
          </w:p>
        </w:tc>
        <w:tc>
          <w:tcPr>
            <w:tcW w:w="1523" w:type="dxa"/>
          </w:tcPr>
          <w:p w:rsidR="004C1407" w:rsidRDefault="00000000">
            <w:r>
              <w:rPr>
                <w:rFonts w:ascii="Times New Roman" w:eastAsia="宋体" w:hAnsi="Times New Roman" w:cs="Times New Roman"/>
                <w:color w:val="000000"/>
              </w:rPr>
              <w:t xml:space="preserve">1. </w:t>
            </w:r>
            <w:r>
              <w:rPr>
                <w:rFonts w:ascii="Times New Roman" w:eastAsia="宋体" w:hAnsi="Times New Roman" w:cs="Times New Roman"/>
                <w:color w:val="000000"/>
              </w:rPr>
              <w:t>数据库访问层统一采用单例连接模式与互斥锁控制；</w:t>
            </w:r>
            <w:r>
              <w:rPr>
                <w:rFonts w:ascii="Times New Roman" w:eastAsia="宋体" w:hAnsi="Times New Roman" w:cs="Times New Roman"/>
                <w:color w:val="000000"/>
              </w:rPr>
              <w:t xml:space="preserve">&lt;br&gt;2. </w:t>
            </w:r>
            <w:r>
              <w:rPr>
                <w:rFonts w:ascii="Times New Roman" w:eastAsia="宋体" w:hAnsi="Times New Roman" w:cs="Times New Roman"/>
                <w:color w:val="000000"/>
              </w:rPr>
              <w:t>开启</w:t>
            </w:r>
            <w:r>
              <w:rPr>
                <w:rFonts w:ascii="Times New Roman" w:eastAsia="宋体" w:hAnsi="Times New Roman" w:cs="Times New Roman"/>
                <w:color w:val="000000"/>
              </w:rPr>
              <w:t xml:space="preserve"> SQLite WAL (Write-</w:t>
            </w:r>
            <w:r>
              <w:rPr>
                <w:rFonts w:ascii="Times New Roman" w:eastAsia="宋体" w:hAnsi="Times New Roman" w:cs="Times New Roman"/>
                <w:color w:val="000000"/>
              </w:rPr>
              <w:lastRenderedPageBreak/>
              <w:t xml:space="preserve">Ahead Logging) </w:t>
            </w:r>
            <w:r>
              <w:rPr>
                <w:rFonts w:ascii="Times New Roman" w:eastAsia="宋体" w:hAnsi="Times New Roman" w:cs="Times New Roman"/>
                <w:color w:val="000000"/>
              </w:rPr>
              <w:t>模式提升并发性能；</w:t>
            </w:r>
            <w:r>
              <w:rPr>
                <w:rFonts w:ascii="Times New Roman" w:eastAsia="宋体" w:hAnsi="Times New Roman" w:cs="Times New Roman"/>
                <w:color w:val="000000"/>
              </w:rPr>
              <w:t xml:space="preserve">3. 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</w:rPr>
              <w:t>违规快照写入采用队列缓冲与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</w:rPr>
              <w:t xml:space="preserve"> 3 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</w:rPr>
              <w:t>次重试机制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</w:rPr>
              <w:t>。</w:t>
            </w:r>
          </w:p>
        </w:tc>
        <w:tc>
          <w:tcPr>
            <w:tcW w:w="2056" w:type="dxa"/>
          </w:tcPr>
          <w:p w:rsidR="004C1407" w:rsidRDefault="00000000">
            <w:r>
              <w:rPr>
                <w:rFonts w:ascii="Times New Roman" w:eastAsia="宋体" w:hAnsi="Times New Roman" w:cs="Times New Roman"/>
                <w:color w:val="000000"/>
              </w:rPr>
              <w:lastRenderedPageBreak/>
              <w:t>系统启动时自动执行</w:t>
            </w:r>
            <w:r>
              <w:rPr>
                <w:rFonts w:ascii="Times New Roman" w:eastAsia="宋体" w:hAnsi="Times New Roman" w:cs="Times New Roman"/>
                <w:color w:val="00000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sqlite_health_check</w:t>
            </w:r>
            <w:r>
              <w:rPr>
                <w:rFonts w:ascii="Times New Roman" w:eastAsia="宋体" w:hAnsi="Times New Roman" w:cs="Times New Roman"/>
                <w:color w:val="000000"/>
              </w:rPr>
              <w:t>：若数据库文件损坏或缺失，自动根据</w:t>
            </w:r>
            <w:r>
              <w:rPr>
                <w:rFonts w:ascii="Times New Roman" w:eastAsia="宋体" w:hAnsi="Times New Roman" w:cs="Times New Roman"/>
                <w:color w:val="000000"/>
              </w:rPr>
              <w:t xml:space="preserve"> DDL </w:t>
            </w:r>
            <w:r>
              <w:rPr>
                <w:rFonts w:ascii="Times New Roman" w:eastAsia="宋体" w:hAnsi="Times New Roman" w:cs="Times New Roman"/>
                <w:color w:val="000000"/>
              </w:rPr>
              <w:t>重新建表并初始化</w:t>
            </w:r>
            <w:r>
              <w:rPr>
                <w:rFonts w:ascii="Times New Roman" w:eastAsia="宋体" w:hAnsi="Times New Roman" w:cs="Times New Roman"/>
                <w:color w:val="000000"/>
              </w:rPr>
              <w:t xml:space="preserve"> Mock </w:t>
            </w:r>
            <w:r>
              <w:rPr>
                <w:rFonts w:ascii="Times New Roman" w:eastAsia="宋体" w:hAnsi="Times New Roman" w:cs="Times New Roman"/>
                <w:color w:val="000000"/>
              </w:rPr>
              <w:t>考勤底库。</w:t>
            </w:r>
          </w:p>
        </w:tc>
        <w:tc>
          <w:tcPr>
            <w:tcW w:w="823" w:type="dxa"/>
          </w:tcPr>
          <w:p w:rsidR="004C140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检查日志文件是否捕获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SQLite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异常，确保无未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lastRenderedPageBreak/>
              <w:t>处理崩溃。</w:t>
            </w:r>
          </w:p>
        </w:tc>
      </w:tr>
      <w:tr w:rsidR="004C1407" w:rsidTr="003F3269">
        <w:tc>
          <w:tcPr>
            <w:tcW w:w="718" w:type="dxa"/>
          </w:tcPr>
          <w:p w:rsidR="004C1407" w:rsidRDefault="00000000">
            <w:pPr>
              <w:jc w:val="center"/>
            </w:pPr>
            <w:r>
              <w:rPr>
                <w:rFonts w:ascii="Times New Roman" w:eastAsia="宋体" w:hAnsi="Times New Roman" w:cs="Times New Roman"/>
                <w:b/>
                <w:color w:val="000000"/>
              </w:rPr>
              <w:lastRenderedPageBreak/>
              <w:t>RSK-08</w:t>
            </w:r>
          </w:p>
        </w:tc>
        <w:tc>
          <w:tcPr>
            <w:tcW w:w="445" w:type="dxa"/>
          </w:tcPr>
          <w:p w:rsidR="004C1407" w:rsidRDefault="00000000">
            <w:pPr>
              <w:jc w:val="center"/>
            </w:pPr>
            <w:r>
              <w:rPr>
                <w:rFonts w:ascii="Times New Roman" w:eastAsia="宋体" w:hAnsi="Times New Roman" w:cs="Times New Roman"/>
                <w:b/>
                <w:color w:val="000000"/>
              </w:rPr>
              <w:t>法律合规</w:t>
            </w:r>
          </w:p>
        </w:tc>
        <w:tc>
          <w:tcPr>
            <w:tcW w:w="1463" w:type="dxa"/>
          </w:tcPr>
          <w:p w:rsidR="004C140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lang w:eastAsia="zh-CN"/>
              </w:rPr>
              <w:t>生物特征信息泄露与合规风险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采集人脸生物信息可能触犯《个人信息保护法》对敏感个人信息的合规要求。</w:t>
            </w:r>
          </w:p>
        </w:tc>
        <w:tc>
          <w:tcPr>
            <w:tcW w:w="461" w:type="dxa"/>
          </w:tcPr>
          <w:p w:rsidR="004C1407" w:rsidRDefault="00000000">
            <w:pPr>
              <w:jc w:val="center"/>
            </w:pPr>
            <w:r>
              <w:rPr>
                <w:rFonts w:ascii="Times New Roman" w:eastAsia="宋体" w:hAnsi="Times New Roman" w:cs="Times New Roman"/>
                <w:color w:val="000000"/>
              </w:rPr>
              <w:t>低</w:t>
            </w:r>
            <w:r>
              <w:rPr>
                <w:rFonts w:ascii="Times New Roman" w:eastAsia="宋体" w:hAnsi="Times New Roman" w:cs="Times New Roman"/>
                <w:color w:val="000000"/>
              </w:rPr>
              <w:t xml:space="preserve"> (1)</w:t>
            </w:r>
          </w:p>
        </w:tc>
        <w:tc>
          <w:tcPr>
            <w:tcW w:w="461" w:type="dxa"/>
          </w:tcPr>
          <w:p w:rsidR="004C1407" w:rsidRDefault="00000000">
            <w:pPr>
              <w:jc w:val="center"/>
            </w:pPr>
            <w:r>
              <w:rPr>
                <w:rFonts w:ascii="Times New Roman" w:eastAsia="宋体" w:hAnsi="Times New Roman" w:cs="Times New Roman"/>
                <w:color w:val="000000"/>
              </w:rPr>
              <w:t>高</w:t>
            </w:r>
            <w:r>
              <w:rPr>
                <w:rFonts w:ascii="Times New Roman" w:eastAsia="宋体" w:hAnsi="Times New Roman" w:cs="Times New Roman"/>
                <w:color w:val="000000"/>
              </w:rPr>
              <w:t xml:space="preserve"> (3)</w:t>
            </w:r>
          </w:p>
        </w:tc>
        <w:tc>
          <w:tcPr>
            <w:tcW w:w="566" w:type="dxa"/>
          </w:tcPr>
          <w:p w:rsidR="004C1407" w:rsidRDefault="00000000">
            <w:pPr>
              <w:jc w:val="center"/>
            </w:pPr>
            <w:r>
              <w:rPr>
                <w:rFonts w:ascii="Times New Roman" w:eastAsia="宋体" w:hAnsi="Times New Roman" w:cs="Times New Roman"/>
                <w:b/>
                <w:color w:val="000000"/>
              </w:rPr>
              <w:t>低</w:t>
            </w:r>
            <w:r>
              <w:rPr>
                <w:rFonts w:ascii="Times New Roman" w:eastAsia="宋体" w:hAnsi="Times New Roman" w:cs="Times New Roman"/>
                <w:b/>
                <w:color w:val="000000"/>
              </w:rPr>
              <w:t xml:space="preserve"> (3)</w:t>
            </w:r>
          </w:p>
        </w:tc>
        <w:tc>
          <w:tcPr>
            <w:tcW w:w="1523" w:type="dxa"/>
          </w:tcPr>
          <w:p w:rsidR="004C140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1.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架构上坚决不提取、不存储任何人脸特征向量；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2.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视频流与违规证据快照纯本地硬盘存储，绝不回传云端或第三方。</w:t>
            </w:r>
          </w:p>
        </w:tc>
        <w:tc>
          <w:tcPr>
            <w:tcW w:w="2056" w:type="dxa"/>
          </w:tcPr>
          <w:p w:rsidR="004C140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提供本地违规快照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一键清除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脱敏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”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功能；系统文档明确标注数据本地化与合规边界。</w:t>
            </w:r>
          </w:p>
        </w:tc>
        <w:tc>
          <w:tcPr>
            <w:tcW w:w="823" w:type="dxa"/>
          </w:tcPr>
          <w:p w:rsidR="004C1407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审查代码与数据存储目录，确认无外部网络上传行为。</w:t>
            </w:r>
          </w:p>
        </w:tc>
      </w:tr>
    </w:tbl>
    <w:p w:rsidR="004C1407" w:rsidRDefault="004C1407">
      <w:pPr>
        <w:spacing w:after="120" w:line="240" w:lineRule="auto"/>
        <w:rPr>
          <w:lang w:eastAsia="zh-CN"/>
        </w:rPr>
      </w:pPr>
    </w:p>
    <w:tbl>
      <w:tblPr>
        <w:tblStyle w:val="1-12"/>
        <w:tblW w:w="0" w:type="auto"/>
        <w:tblLayout w:type="fixed"/>
        <w:tblLook w:val="04A0" w:firstRow="1" w:lastRow="0" w:firstColumn="1" w:lastColumn="0" w:noHBand="0" w:noVBand="1"/>
      </w:tblPr>
      <w:tblGrid>
        <w:gridCol w:w="8300"/>
      </w:tblGrid>
      <w:tr w:rsidR="004C1407" w:rsidTr="003F32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0" w:type="dxa"/>
          </w:tcPr>
          <w:p w:rsidR="004C1407" w:rsidRDefault="00000000">
            <w:pPr>
              <w:spacing w:after="60"/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374151"/>
                <w:lang w:eastAsia="zh-CN"/>
              </w:rPr>
              <w:t>NOTE</w:t>
            </w:r>
            <w:r>
              <w:rPr>
                <w:rFonts w:ascii="Times New Roman" w:eastAsia="宋体" w:hAnsi="Times New Roman" w:cs="Times New Roman"/>
                <w:color w:val="374151"/>
                <w:lang w:eastAsia="zh-CN"/>
              </w:rPr>
              <w:br/>
            </w:r>
            <w:r>
              <w:rPr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风险跟踪与闭环规则：</w:t>
            </w:r>
          </w:p>
          <w:p w:rsidR="004C1407" w:rsidRDefault="00000000">
            <w:pPr>
              <w:spacing w:after="60"/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高风险项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 (RSK-01, RSK-02, RSK-03)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为系统红线项，必须在阶段三与阶段四集成测试中逐一通过自动化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手动用例验证；</w:t>
            </w:r>
          </w:p>
          <w:p w:rsidR="004C1407" w:rsidRDefault="00000000">
            <w:pPr>
              <w:spacing w:after="60"/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项目各里程碑评审（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MS-1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至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 MS-5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）必须对照上表进行逐项清点，发现新风险时按统一模板增补入表。</w:t>
            </w:r>
          </w:p>
        </w:tc>
      </w:tr>
    </w:tbl>
    <w:p w:rsidR="004C1407" w:rsidRDefault="004C1407">
      <w:pPr>
        <w:spacing w:after="120" w:line="240" w:lineRule="auto"/>
        <w:rPr>
          <w:lang w:eastAsia="zh-CN"/>
        </w:rPr>
      </w:pPr>
    </w:p>
    <w:sectPr w:rsidR="004C1407" w:rsidSect="00034616">
      <w:footerReference w:type="default" r:id="rId8"/>
      <w:pgSz w:w="11906" w:h="16838"/>
      <w:pgMar w:top="1440" w:right="1803" w:bottom="1440" w:left="1803" w:header="850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C39B8" w:rsidRDefault="00AC39B8">
      <w:pPr>
        <w:spacing w:after="0" w:line="240" w:lineRule="auto"/>
      </w:pPr>
      <w:r>
        <w:separator/>
      </w:r>
    </w:p>
  </w:endnote>
  <w:endnote w:type="continuationSeparator" w:id="0">
    <w:p w:rsidR="00AC39B8" w:rsidRDefault="00AC39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C1407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rPr>
        <w:rFonts w:ascii="Times New Roman" w:eastAsia="宋体"/>
        <w:sz w:val="20"/>
      </w:rPr>
      <w:t>1</w:t>
    </w:r>
    <w:r>
      <w:rPr>
        <w:rFonts w:ascii="Times New Roman" w:eastAsia="宋体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C39B8" w:rsidRDefault="00AC39B8">
      <w:pPr>
        <w:spacing w:after="0" w:line="240" w:lineRule="auto"/>
      </w:pPr>
      <w:r>
        <w:separator/>
      </w:r>
    </w:p>
  </w:footnote>
  <w:footnote w:type="continuationSeparator" w:id="0">
    <w:p w:rsidR="00AC39B8" w:rsidRDefault="00AC39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5476240">
    <w:abstractNumId w:val="8"/>
  </w:num>
  <w:num w:numId="2" w16cid:durableId="140509708">
    <w:abstractNumId w:val="6"/>
  </w:num>
  <w:num w:numId="3" w16cid:durableId="1834447779">
    <w:abstractNumId w:val="5"/>
  </w:num>
  <w:num w:numId="4" w16cid:durableId="1802386215">
    <w:abstractNumId w:val="4"/>
  </w:num>
  <w:num w:numId="5" w16cid:durableId="1391805185">
    <w:abstractNumId w:val="7"/>
  </w:num>
  <w:num w:numId="6" w16cid:durableId="819688215">
    <w:abstractNumId w:val="3"/>
  </w:num>
  <w:num w:numId="7" w16cid:durableId="888415965">
    <w:abstractNumId w:val="2"/>
  </w:num>
  <w:num w:numId="8" w16cid:durableId="272901366">
    <w:abstractNumId w:val="1"/>
  </w:num>
  <w:num w:numId="9" w16cid:durableId="794368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D0E"/>
    <w:rsid w:val="0029639D"/>
    <w:rsid w:val="00326F90"/>
    <w:rsid w:val="003F3269"/>
    <w:rsid w:val="004C1407"/>
    <w:rsid w:val="00AA1D8D"/>
    <w:rsid w:val="00AC39B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579D8"/>
  <w14:defaultImageDpi w14:val="300"/>
  <w15:docId w15:val="{AEE95DDE-9A5D-0E4F-8438-FE0CFC3D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1-12">
    <w:name w:val="Grid Table 1 Light Accent 1"/>
    <w:basedOn w:val="a3"/>
    <w:uiPriority w:val="46"/>
    <w:rsid w:val="003F3269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nijika</cp:lastModifiedBy>
  <cp:revision>2</cp:revision>
  <dcterms:created xsi:type="dcterms:W3CDTF">2013-12-23T23:15:00Z</dcterms:created>
  <dcterms:modified xsi:type="dcterms:W3CDTF">2026-09-02T00:29:00Z</dcterms:modified>
  <cp:category/>
</cp:coreProperties>
</file>