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line="300" w:lineRule="auto"/>
        <w:jc w:val="left"/>
      </w:pPr>
      <w:r>
        <w:rPr>
          <w:rFonts w:ascii="黑体" w:hAnsi="黑体"/>
          <w:b/>
          <w:sz w:val="32"/>
          <w:rFonts w:eastAsia="黑体"/>
        </w:rPr>
        <w:t>软件工程项目训练实训日志（第1周 第3天）</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Mar>
              <w:top w:w="120" w:type="dxa"/>
              <w:bottom w:w="120" w:type="dxa"/>
              <w:left w:w="150" w:type="dxa"/>
              <w:right w:w="150" w:type="dxa"/>
            </w:tcMar>
            <w:shd w:fill="F2F2F2"/>
          </w:tcPr>
          <w:p>
            <w:pPr>
              <w:spacing w:before="40" w:after="40"/>
              <w:jc w:val="center"/>
            </w:pPr>
            <w:r>
              <w:rPr>
                <w:rFonts w:ascii="黑体" w:hAnsi="黑体"/>
                <w:b/>
                <w:sz w:val="21"/>
                <w:rFonts w:eastAsia="黑体"/>
              </w:rPr>
              <w:t>实训日期</w:t>
            </w:r>
          </w:p>
        </w:tc>
        <w:tc>
          <w:tcPr>
            <w:tcW w:type="dxa" w:w="2880"/>
            <w:vAlign w:val="center"/>
            <w:tcMar>
              <w:top w:w="120" w:type="dxa"/>
              <w:bottom w:w="120" w:type="dxa"/>
              <w:left w:w="150" w:type="dxa"/>
              <w:right w:w="150" w:type="dxa"/>
            </w:tcMar>
          </w:tcPr>
          <w:p>
            <w:pPr>
              <w:spacing w:before="40" w:after="40"/>
              <w:jc w:val="left"/>
            </w:pPr>
            <w:r>
              <w:rPr>
                <w:rFonts w:ascii="宋体" w:hAnsi="宋体"/>
                <w:b w:val="0"/>
                <w:sz w:val="21"/>
                <w:rFonts w:eastAsia="宋体"/>
              </w:rPr>
              <w:t>2026年09月02日</w:t>
            </w:r>
          </w:p>
        </w:tc>
        <w:tc>
          <w:tcPr>
            <w:tcW w:type="dxa" w:w="1728"/>
            <w:vAlign w:val="center"/>
            <w:tcMar>
              <w:top w:w="120" w:type="dxa"/>
              <w:bottom w:w="120" w:type="dxa"/>
              <w:left w:w="150" w:type="dxa"/>
              <w:right w:w="150" w:type="dxa"/>
            </w:tcMar>
            <w:shd w:fill="F2F2F2"/>
          </w:tcPr>
          <w:p>
            <w:pPr>
              <w:spacing w:before="40" w:after="40"/>
              <w:jc w:val="center"/>
            </w:pPr>
            <w:r>
              <w:rPr>
                <w:rFonts w:ascii="黑体" w:hAnsi="黑体"/>
                <w:b/>
                <w:sz w:val="21"/>
                <w:rFonts w:eastAsia="黑体"/>
              </w:rPr>
              <w:t>实训阶段</w:t>
            </w:r>
          </w:p>
        </w:tc>
        <w:tc>
          <w:tcPr>
            <w:tcW w:type="dxa" w:w="3024"/>
            <w:vAlign w:val="center"/>
            <w:tcMar>
              <w:top w:w="120" w:type="dxa"/>
              <w:bottom w:w="120" w:type="dxa"/>
              <w:left w:w="150" w:type="dxa"/>
              <w:right w:w="150" w:type="dxa"/>
            </w:tcMar>
          </w:tcPr>
          <w:p>
            <w:pPr>
              <w:spacing w:before="40" w:after="40"/>
              <w:jc w:val="left"/>
            </w:pPr>
            <w:r>
              <w:rPr>
                <w:rFonts w:ascii="宋体" w:hAnsi="宋体"/>
                <w:b w:val="0"/>
                <w:sz w:val="21"/>
                <w:rFonts w:eastAsia="宋体"/>
              </w:rPr>
              <w:t>第1周 第3天（W1D3）</w:t>
            </w:r>
          </w:p>
        </w:tc>
      </w:tr>
      <w:tr>
        <w:tc>
          <w:tcPr>
            <w:tcW w:type="dxa" w:w="1728"/>
            <w:vAlign w:val="center"/>
            <w:tcMar>
              <w:top w:w="120" w:type="dxa"/>
              <w:bottom w:w="120" w:type="dxa"/>
              <w:left w:w="150" w:type="dxa"/>
              <w:right w:w="150" w:type="dxa"/>
            </w:tcMar>
            <w:shd w:fill="F2F2F2"/>
          </w:tcPr>
          <w:p>
            <w:pPr>
              <w:spacing w:before="40" w:after="40"/>
              <w:jc w:val="center"/>
            </w:pPr>
            <w:r>
              <w:rPr>
                <w:rFonts w:ascii="黑体" w:hAnsi="黑体"/>
                <w:b/>
                <w:sz w:val="21"/>
                <w:rFonts w:eastAsia="黑体"/>
              </w:rPr>
              <w:t>学生姓名</w:t>
            </w:r>
          </w:p>
        </w:tc>
        <w:tc>
          <w:tcPr>
            <w:tcW w:type="dxa" w:w="2880"/>
            <w:vAlign w:val="center"/>
            <w:tcMar>
              <w:top w:w="120" w:type="dxa"/>
              <w:bottom w:w="120" w:type="dxa"/>
              <w:left w:w="150" w:type="dxa"/>
              <w:right w:w="150" w:type="dxa"/>
            </w:tcMar>
          </w:tcPr>
          <w:p>
            <w:pPr>
              <w:spacing w:before="40" w:after="40"/>
              <w:jc w:val="left"/>
            </w:pPr>
            <w:r>
              <w:rPr>
                <w:rFonts w:ascii="宋体" w:hAnsi="宋体"/>
                <w:b w:val="0"/>
                <w:sz w:val="21"/>
                <w:rFonts w:eastAsia="宋体"/>
              </w:rPr>
              <w:t>夏一帆</w:t>
            </w:r>
          </w:p>
        </w:tc>
        <w:tc>
          <w:tcPr>
            <w:tcW w:type="dxa" w:w="1728"/>
            <w:vAlign w:val="center"/>
            <w:tcMar>
              <w:top w:w="120" w:type="dxa"/>
              <w:bottom w:w="120" w:type="dxa"/>
              <w:left w:w="150" w:type="dxa"/>
              <w:right w:w="150" w:type="dxa"/>
            </w:tcMar>
            <w:shd w:fill="F2F2F2"/>
          </w:tcPr>
          <w:p>
            <w:pPr>
              <w:spacing w:before="40" w:after="40"/>
              <w:jc w:val="center"/>
            </w:pPr>
            <w:r>
              <w:rPr>
                <w:rFonts w:ascii="黑体" w:hAnsi="黑体"/>
                <w:b/>
                <w:sz w:val="21"/>
                <w:rFonts w:eastAsia="黑体"/>
              </w:rPr>
              <w:t>专业班级</w:t>
            </w:r>
          </w:p>
        </w:tc>
        <w:tc>
          <w:tcPr>
            <w:tcW w:type="dxa" w:w="3024"/>
            <w:vAlign w:val="center"/>
            <w:tcMar>
              <w:top w:w="120" w:type="dxa"/>
              <w:bottom w:w="120" w:type="dxa"/>
              <w:left w:w="150" w:type="dxa"/>
              <w:right w:w="150" w:type="dxa"/>
            </w:tcMar>
          </w:tcPr>
          <w:p>
            <w:pPr>
              <w:spacing w:before="40" w:after="40"/>
              <w:jc w:val="left"/>
            </w:pPr>
            <w:r>
              <w:rPr>
                <w:rFonts w:ascii="宋体" w:hAnsi="宋体"/>
                <w:b w:val="0"/>
                <w:sz w:val="21"/>
                <w:rFonts w:eastAsia="宋体"/>
              </w:rPr>
              <w:t>软件工程232</w:t>
            </w:r>
          </w:p>
        </w:tc>
      </w:tr>
      <w:tr>
        <w:tc>
          <w:tcPr>
            <w:tcW w:type="dxa" w:w="1728"/>
            <w:vAlign w:val="center"/>
            <w:tcMar>
              <w:top w:w="120" w:type="dxa"/>
              <w:bottom w:w="120" w:type="dxa"/>
              <w:left w:w="150" w:type="dxa"/>
              <w:right w:w="150" w:type="dxa"/>
            </w:tcMar>
            <w:shd w:fill="F2F2F2"/>
          </w:tcPr>
          <w:p>
            <w:pPr>
              <w:spacing w:before="40" w:after="40"/>
              <w:jc w:val="center"/>
            </w:pPr>
            <w:r>
              <w:rPr>
                <w:rFonts w:ascii="黑体" w:hAnsi="黑体"/>
                <w:b/>
                <w:sz w:val="21"/>
                <w:rFonts w:eastAsia="黑体"/>
              </w:rPr>
              <w:t>实训项目</w:t>
            </w:r>
          </w:p>
        </w:tc>
        <w:tc>
          <w:tcPr>
            <w:tcW w:type="dxa" w:w="2880"/>
            <w:vAlign w:val="center"/>
            <w:tcMar>
              <w:top w:w="120" w:type="dxa"/>
              <w:bottom w:w="120" w:type="dxa"/>
              <w:left w:w="150" w:type="dxa"/>
              <w:right w:w="150" w:type="dxa"/>
            </w:tcMar>
          </w:tcPr>
          <w:p>
            <w:pPr>
              <w:spacing w:before="40" w:after="40"/>
              <w:jc w:val="left"/>
            </w:pPr>
            <w:r>
              <w:rPr>
                <w:rFonts w:ascii="宋体" w:hAnsi="宋体"/>
                <w:b w:val="0"/>
                <w:sz w:val="21"/>
                <w:rFonts w:eastAsia="宋体"/>
              </w:rPr>
              <w:t>智能会议签到与出勤分析系统</w:t>
            </w:r>
          </w:p>
        </w:tc>
        <w:tc>
          <w:tcPr>
            <w:tcW w:type="dxa" w:w="1728"/>
            <w:vAlign w:val="center"/>
            <w:tcMar>
              <w:top w:w="120" w:type="dxa"/>
              <w:bottom w:w="120" w:type="dxa"/>
              <w:left w:w="150" w:type="dxa"/>
              <w:right w:w="150" w:type="dxa"/>
            </w:tcMar>
            <w:shd w:fill="F2F2F2"/>
          </w:tcPr>
          <w:p>
            <w:pPr>
              <w:spacing w:before="40" w:after="40"/>
              <w:jc w:val="center"/>
            </w:pPr>
            <w:r>
              <w:rPr>
                <w:rFonts w:ascii="黑体" w:hAnsi="黑体"/>
                <w:b/>
                <w:sz w:val="21"/>
                <w:rFonts w:eastAsia="黑体"/>
              </w:rPr>
              <w:t>指导教师</w:t>
            </w:r>
          </w:p>
        </w:tc>
        <w:tc>
          <w:tcPr>
            <w:tcW w:type="dxa" w:w="3024"/>
            <w:vAlign w:val="center"/>
            <w:tcMar>
              <w:top w:w="120" w:type="dxa"/>
              <w:bottom w:w="120" w:type="dxa"/>
              <w:left w:w="150" w:type="dxa"/>
              <w:right w:w="150" w:type="dxa"/>
            </w:tcMar>
          </w:tcPr>
          <w:p>
            <w:pPr>
              <w:spacing w:before="40" w:after="40"/>
              <w:jc w:val="left"/>
            </w:pPr>
            <w:r>
              <w:rPr>
                <w:rFonts w:ascii="宋体" w:hAnsi="宋体"/>
                <w:b w:val="0"/>
                <w:sz w:val="21"/>
                <w:rFonts w:eastAsia="宋体"/>
              </w:rPr>
              <w:t>张冰</w:t>
            </w:r>
          </w:p>
        </w:tc>
      </w:tr>
    </w:tbl>
    <w:p>
      <w:pPr>
        <w:spacing w:before="80" w:after="80" w:line="300" w:lineRule="auto"/>
        <w:jc w:val="left"/>
      </w:pPr>
      <w:r>
        <w:rPr>
          <w:rFonts w:ascii="宋体" w:hAnsi="宋体"/>
          <w:b w:val="0"/>
          <w:sz w:val="21"/>
          <w:rFonts w:eastAsia="宋体"/>
        </w:rPr>
      </w:r>
    </w:p>
    <w:p>
      <w:pPr>
        <w:spacing w:before="200" w:after="80" w:line="300" w:lineRule="auto"/>
        <w:jc w:val="left"/>
      </w:pPr>
      <w:r>
        <w:rPr>
          <w:rFonts w:ascii="黑体" w:hAnsi="黑体"/>
          <w:b/>
          <w:sz w:val="26"/>
          <w:rFonts w:eastAsia="黑体"/>
        </w:rPr>
        <w:t>一、实训任务与目标</w:t>
      </w:r>
    </w:p>
    <w:p>
      <w:pPr>
        <w:spacing w:before="40" w:after="40" w:line="300" w:lineRule="auto"/>
        <w:jc w:val="left"/>
      </w:pPr>
      <w:r>
        <w:rPr>
          <w:rFonts w:ascii="宋体" w:hAnsi="宋体"/>
          <w:b w:val="0"/>
          <w:sz w:val="21"/>
          <w:rFonts w:eastAsia="宋体"/>
        </w:rPr>
        <w:t>1. 掌握 OpenCV 基础视觉编程环境与核心 API，深入理解图像的数字表示（高、宽、通道数组成的 NumPy 多维数组及 BGR 存储顺序）与视频编解码原理。</w:t>
      </w:r>
    </w:p>
    <w:p>
      <w:pPr>
        <w:spacing w:before="40" w:after="40" w:line="300" w:lineRule="auto"/>
        <w:jc w:val="left"/>
      </w:pPr>
      <w:r>
        <w:rPr>
          <w:rFonts w:ascii="宋体" w:hAnsi="宋体"/>
          <w:b w:val="0"/>
          <w:sz w:val="21"/>
          <w:rFonts w:eastAsia="宋体"/>
        </w:rPr>
        <w:t>2. 掌握 OpenCV 视频流处理机制（VideoCapture 与 VideoWriter），设计面向对象的监控视频抽帧系统，实现均匀抽帧、时间间隔抽帧与元数据自动化生成。</w:t>
      </w:r>
    </w:p>
    <w:p>
      <w:pPr>
        <w:spacing w:before="40" w:after="40" w:line="300" w:lineRule="auto"/>
        <w:jc w:val="left"/>
      </w:pPr>
      <w:r>
        <w:rPr>
          <w:rFonts w:ascii="宋体" w:hAnsi="宋体"/>
          <w:b w:val="0"/>
          <w:sz w:val="21"/>
          <w:rFonts w:eastAsia="宋体"/>
        </w:rPr>
        <w:t>3. 掌握 OpenCV 核心图像预处理算法，包括均值/高斯/中值/双边滤波降噪、OTSU 与自适应二值化、形态学操作（腐蚀/膨胀/开闭运算）及 Canny 边缘检测算子。</w:t>
      </w:r>
    </w:p>
    <w:p>
      <w:pPr>
        <w:spacing w:before="40" w:after="80" w:line="300" w:lineRule="auto"/>
        <w:jc w:val="left"/>
      </w:pPr>
      <w:r>
        <w:rPr>
          <w:rFonts w:ascii="宋体" w:hAnsi="宋体"/>
          <w:b w:val="0"/>
          <w:sz w:val="21"/>
          <w:rFonts w:eastAsia="宋体"/>
        </w:rPr>
        <w:t>4. 结合工业监控场景（皮带监控与山火监控），完成真实监控视频的抽帧与候选标注数据集构建（精准截取 2 个代表性视频共计 100 张高质量图像并导出 JSON 索引）。</w:t>
      </w:r>
    </w:p>
    <w:p>
      <w:pPr>
        <w:spacing w:before="200" w:after="80" w:line="300" w:lineRule="auto"/>
        <w:jc w:val="left"/>
      </w:pPr>
      <w:r>
        <w:rPr>
          <w:rFonts w:ascii="黑体" w:hAnsi="黑体"/>
          <w:b/>
          <w:sz w:val="26"/>
          <w:rFonts w:eastAsia="黑体"/>
        </w:rPr>
        <w:t>二、任务完成与实现过程</w:t>
      </w:r>
    </w:p>
    <w:p>
      <w:pPr>
        <w:spacing w:before="120" w:after="60" w:line="300" w:lineRule="auto"/>
        <w:jc w:val="left"/>
      </w:pPr>
      <w:r>
        <w:rPr>
          <w:rFonts w:ascii="黑体" w:hAnsi="黑体"/>
          <w:b/>
          <w:sz w:val="23"/>
          <w:rFonts w:eastAsia="黑体"/>
        </w:rPr>
        <w:t>任务一：面向对象监控视频抽帧系统设计与数据集构建</w:t>
      </w:r>
    </w:p>
    <w:p>
      <w:pPr>
        <w:spacing w:before="80" w:after="40" w:line="300" w:lineRule="auto"/>
        <w:jc w:val="left"/>
      </w:pPr>
      <w:r>
        <w:rPr>
          <w:rFonts w:ascii="黑体" w:hAnsi="黑体"/>
          <w:b/>
          <w:sz w:val="21"/>
          <w:rFonts w:eastAsia="黑体"/>
        </w:rPr>
        <w:t>1. 题目描述与要求</w:t>
      </w:r>
    </w:p>
    <w:p>
      <w:pPr>
        <w:spacing w:before="40" w:after="40" w:line="300" w:lineRule="auto"/>
        <w:jc w:val="left"/>
      </w:pPr>
      <w:r>
        <w:rPr>
          <w:rFonts w:ascii="宋体" w:hAnsi="宋体"/>
          <w:b w:val="0"/>
          <w:sz w:val="21"/>
          <w:rFonts w:eastAsia="宋体"/>
        </w:rPr>
        <w:t>针对工业监控视频（涵盖皮带、山火烟雾、安全帽、工程车及异物等监控场景），为降低数据标注冗余并保留多样化关键特征，需设计工程化抽帧程序。本次针对 belt.mp4（1080P/25FPS）与 fire_smoke.avi（720P/1FPS）两类典型视频进行抽帧，分别抽取 50 张（共计 100 张），输出规范命名的图片文件及包含时间戳、分辨率与原始帧号的 dataset_metadata.json 元数据清单。</w:t>
      </w:r>
    </w:p>
    <w:p>
      <w:pPr>
        <w:spacing w:before="80" w:after="40" w:line="300" w:lineRule="auto"/>
        <w:jc w:val="left"/>
      </w:pPr>
      <w:r>
        <w:rPr>
          <w:rFonts w:ascii="黑体" w:hAnsi="黑体"/>
          <w:b/>
          <w:sz w:val="21"/>
          <w:rFonts w:eastAsia="黑体"/>
        </w:rPr>
        <w:t>2. 核心代码实现（extract_frames.py）</w:t>
      </w:r>
    </w:p>
    <w:p>
      <w:pPr>
        <w:spacing w:before="60" w:after="80" w:line="276" w:lineRule="auto"/>
      </w:pPr>
      <w:r>
        <w:rPr>
          <w:rFonts w:ascii="Consolas" w:hAnsi="Consolas"/>
          <w:color w:val="1E1E1E"/>
          <w:sz w:val="19"/>
          <w:rFonts w:ascii="Consolas" w:hAnsi="Consolas" w:eastAsia="宋体"/>
        </w:rPr>
        <w:t>class VideoFrameExtractor:</w:t>
        <w:br/>
        <w:t xml:space="preserve">    def __init__(self, video_path: str, output_dir: str):</w:t>
        <w:br/>
        <w:t xml:space="preserve">        if not os.path.exists(video_path):</w:t>
        <w:br/>
        <w:t xml:space="preserve">            raise FileNotFoundError(f"视频文件未找到: {video_path}")</w:t>
        <w:br/>
        <w:t xml:space="preserve">        self.video_path = video_path</w:t>
        <w:br/>
        <w:t xml:space="preserve">        self.video_name = os.path.splitext(os.path.basename(video_path))[0]</w:t>
        <w:br/>
        <w:t xml:space="preserve">        self.output_dir = os.path.join(output_dir, self.video_name)</w:t>
        <w:br/>
        <w:t xml:space="preserve">        os.makedirs(self.output_dir, exist_ok=True)</w:t>
        <w:br/>
        <w:t xml:space="preserve">        </w:t>
        <w:br/>
        <w:t xml:space="preserve">        cap = cv2.VideoCapture(self.video_path)</w:t>
        <w:br/>
        <w:t xml:space="preserve">        if not cap.isOpened():</w:t>
        <w:br/>
        <w:t xml:space="preserve">            raise ValueError(f"无法打开视频文件: {video_path}")</w:t>
        <w:br/>
        <w:t xml:space="preserve">        self.fps = cap.get(cv2.CAP_PROP_FPS) or 1.0</w:t>
        <w:br/>
        <w:t xml:space="preserve">        self.total_frames = int(cap.get(cv2.CAP_PROP_FRAME_COUNT))</w:t>
        <w:br/>
        <w:t xml:space="preserve">        self.width = int(cap.get(cv2.CAP_PROP_FRAME_WIDTH))</w:t>
        <w:br/>
        <w:t xml:space="preserve">        self.height = int(cap.get(cv2.CAP_PROP_FRAME_HEIGHT))</w:t>
        <w:br/>
        <w:t xml:space="preserve">        self.duration_sec = self.total_frames / self.fps if self.fps &gt; 0 else 0.0</w:t>
        <w:br/>
        <w:t xml:space="preserve">        cap.release()</w:t>
        <w:br/>
        <w:br/>
        <w:t xml:space="preserve">    def extract_uniform_count(self, target_count: int, quality: int = 95) -&gt; List[Dict]:</w:t>
        <w:br/>
        <w:t xml:space="preserve">        actual_count = min(target_count, self.total_frames)</w:t>
        <w:br/>
        <w:t xml:space="preserve">        safe_max = max(0, self.total_frames - 25)</w:t>
        <w:br/>
        <w:t xml:space="preserve">        step = safe_max / (actual_count - 1) if actual_count &gt; 1 else 0</w:t>
        <w:br/>
        <w:t xml:space="preserve">        frame_indices = sorted(list(set([int(round(i * step)) for i in range(actual_count)])))</w:t>
        <w:br/>
        <w:t xml:space="preserve">        return self._extract_specific_indices(frame_indices, quality=quality)</w:t>
      </w:r>
    </w:p>
    <w:p>
      <w:pPr>
        <w:spacing w:before="80" w:after="40" w:line="300" w:lineRule="auto"/>
        <w:jc w:val="left"/>
      </w:pPr>
      <w:r>
        <w:rPr>
          <w:rFonts w:ascii="黑体" w:hAnsi="黑体"/>
          <w:b/>
          <w:sz w:val="21"/>
          <w:rFonts w:eastAsia="黑体"/>
        </w:rPr>
        <w:t>3. 运行测试与抽帧结果</w:t>
      </w:r>
    </w:p>
    <w:p>
      <w:pPr>
        <w:spacing w:before="40" w:after="80" w:line="300" w:lineRule="auto"/>
        <w:jc w:val="left"/>
      </w:pPr>
      <w:r>
        <w:rPr>
          <w:rFonts w:ascii="宋体" w:hAnsi="宋体"/>
          <w:b w:val="0"/>
          <w:sz w:val="21"/>
          <w:rFonts w:eastAsia="宋体"/>
        </w:rPr>
        <w:t>在 Conda smokefire 环境中执行批量抽帧程序，对皮带监控（belt.mp4，原始 44,990 帧）和山火烟雾监控（fire_smoke.avi，原始 1,075 帧）执行均匀采样，分别成功输出 50 张高质量 JPG 图像（存入 W1D3/dataset/belt 与 W1D3/dataset/fire_smoke），累计生成 100 张标注样本，并同步输出结构化索引 dataset_metadata.json。</w:t>
      </w:r>
    </w:p>
    <w:p>
      <w:pPr>
        <w:spacing w:before="120" w:after="60" w:line="300" w:lineRule="auto"/>
        <w:jc w:val="left"/>
      </w:pPr>
      <w:r>
        <w:rPr>
          <w:rFonts w:ascii="黑体" w:hAnsi="黑体"/>
          <w:b/>
          <w:sz w:val="23"/>
          <w:rFonts w:eastAsia="黑体"/>
        </w:rPr>
        <w:t>任务二：OpenCV 图像滤波降噪、二值化与边缘检测算法实现</w:t>
      </w:r>
    </w:p>
    <w:p>
      <w:pPr>
        <w:spacing w:before="80" w:after="40" w:line="300" w:lineRule="auto"/>
        <w:jc w:val="left"/>
      </w:pPr>
      <w:r>
        <w:rPr>
          <w:rFonts w:ascii="黑体" w:hAnsi="黑体"/>
          <w:b/>
          <w:sz w:val="21"/>
          <w:rFonts w:eastAsia="黑体"/>
        </w:rPr>
        <w:t>1. 题目描述与要求</w:t>
      </w:r>
    </w:p>
    <w:p>
      <w:pPr>
        <w:spacing w:before="40" w:after="40" w:line="300" w:lineRule="auto"/>
        <w:jc w:val="left"/>
      </w:pPr>
      <w:r>
        <w:rPr>
          <w:rFonts w:ascii="宋体" w:hAnsi="宋体"/>
          <w:b w:val="0"/>
          <w:sz w:val="21"/>
          <w:rFonts w:eastAsia="宋体"/>
        </w:rPr>
        <w:t>结合实训教学内容，深入理解并编程实现经典图像预处理与特征提取算法：对比均值滤波（cv2.blur）、高斯滤波（cv2.GaussianBlur）、中值滤波（cv2.medianBlur）与双边滤波（cv2.bilateralFilter）在去除椒盐/高斯噪声及边缘保留上的差异；实现 OTSU 全局二值化与自适应阈值二值化（cv2.adaptiveThreshold）；实现形态学膨胀、腐蚀、开闭运算以及 Canny / Sobel / Laplacian 边缘检测算子。</w:t>
      </w:r>
    </w:p>
    <w:p>
      <w:pPr>
        <w:spacing w:before="80" w:after="40" w:line="300" w:lineRule="auto"/>
        <w:jc w:val="left"/>
      </w:pPr>
      <w:r>
        <w:rPr>
          <w:rFonts w:ascii="黑体" w:hAnsi="黑体"/>
          <w:b/>
          <w:sz w:val="21"/>
          <w:rFonts w:eastAsia="黑体"/>
        </w:rPr>
        <w:t>2. 核心代码实现（image_preprocess.py）</w:t>
      </w:r>
    </w:p>
    <w:p>
      <w:pPr>
        <w:spacing w:before="60" w:after="80" w:line="276" w:lineRule="auto"/>
      </w:pPr>
      <w:r>
        <w:rPr>
          <w:rFonts w:ascii="Consolas" w:hAnsi="Consolas"/>
          <w:color w:val="1E1E1E"/>
          <w:sz w:val="19"/>
          <w:rFonts w:ascii="Consolas" w:hAnsi="Consolas" w:eastAsia="宋体"/>
        </w:rPr>
        <w:t>class ImagePreprocessor:</w:t>
        <w:br/>
        <w:t xml:space="preserve">    @staticmethod</w:t>
        <w:br/>
        <w:t xml:space="preserve">    def apply_filters(img: np.ndarray, ksize: int = 5) -&gt; Dict[str, np.ndarray]:</w:t>
        <w:br/>
        <w:t xml:space="preserve">        return {</w:t>
        <w:br/>
        <w:t xml:space="preserve">            "mean_filter": cv2.blur(img, (ksize, ksize)),</w:t>
        <w:br/>
        <w:t xml:space="preserve">            "gaussian_filter": cv2.GaussianBlur(img, (ksize, ksize), 0),</w:t>
        <w:br/>
        <w:t xml:space="preserve">            "median_filter": cv2.medianBlur(img, ksize),</w:t>
        <w:br/>
        <w:t xml:space="preserve">            "bilateral_filter": cv2.bilateralFilter(img, d=9, sigmaColor=75, sigmaSpace=75)</w:t>
        <w:br/>
        <w:t xml:space="preserve">        }</w:t>
        <w:br/>
        <w:br/>
        <w:t xml:space="preserve">    @staticmethod</w:t>
        <w:br/>
        <w:t xml:space="preserve">    def detect_edges(img: np.ndarray) -&gt; Dict[str, np.ndarray]:</w:t>
        <w:br/>
        <w:t xml:space="preserve">        gray = cv2.cvtColor(img, cv2.COLOR_BGR2GRAY) if len(img.shape) == 3 else img</w:t>
        <w:br/>
        <w:t xml:space="preserve">        blurred = cv2.GaussianBlur(gray, (5, 5), 0)</w:t>
        <w:br/>
        <w:t xml:space="preserve">        return {</w:t>
        <w:br/>
        <w:t xml:space="preserve">            "canny": cv2.Canny(blurred, 50, 150),</w:t>
        <w:br/>
        <w:t xml:space="preserve">            "sobel": cv2.convertScaleAbs(cv2.Sobel(blurred, cv2.CV_64F, 1, 0, ksize=3)),</w:t>
        <w:br/>
        <w:t xml:space="preserve">            "laplacian": cv2.convertScaleAbs(cv2.Laplacian(blurred, cv2.CV_64F))</w:t>
        <w:br/>
        <w:t xml:space="preserve">        }</w:t>
      </w:r>
    </w:p>
    <w:p>
      <w:pPr>
        <w:spacing w:before="80" w:after="40" w:line="300" w:lineRule="auto"/>
        <w:jc w:val="left"/>
      </w:pPr>
      <w:r>
        <w:rPr>
          <w:rFonts w:ascii="黑体" w:hAnsi="黑体"/>
          <w:b/>
          <w:sz w:val="21"/>
          <w:rFonts w:eastAsia="黑体"/>
        </w:rPr>
        <w:t>3. 算法特性与对比分析</w:t>
      </w:r>
    </w:p>
    <w:p>
      <w:pPr>
        <w:spacing w:before="40" w:after="80" w:line="300" w:lineRule="auto"/>
        <w:jc w:val="left"/>
      </w:pPr>
      <w:r>
        <w:rPr>
          <w:rFonts w:ascii="宋体" w:hAnsi="宋体"/>
          <w:b w:val="0"/>
          <w:sz w:val="21"/>
          <w:rFonts w:eastAsia="宋体"/>
        </w:rPr>
        <w:t>（1）滤波去噪：高斯滤波通过正态分布核在平滑随机噪声的同时较好地保持了轮廓过渡；中值滤波利用邻域中值有效剔除孤立噪点，对椒盐噪声效果最佳；双边滤波融合空间与灰度差权重，在强力去噪的同时完好保留了边缘纹理。</w:t>
        <w:br/>
        <w:t>（2）二值化与边缘提取：OTSU 算法基于类间方差最大化自适应求解全局最优阈值；Canny 算子通过高斯滤波、梯度计算、非极大值抑制及双阈值连接，呈现出清晰且单像素宽度的边界线。</w:t>
      </w:r>
    </w:p>
    <w:p>
      <w:pPr>
        <w:spacing w:before="120" w:after="60" w:line="300" w:lineRule="auto"/>
        <w:jc w:val="left"/>
      </w:pPr>
      <w:r>
        <w:rPr>
          <w:rFonts w:ascii="黑体" w:hAnsi="黑体"/>
          <w:b/>
          <w:sz w:val="23"/>
          <w:rFonts w:eastAsia="黑体"/>
        </w:rPr>
        <w:t>任务三：模块单元测试与异常防御机制验证</w:t>
      </w:r>
    </w:p>
    <w:p>
      <w:pPr>
        <w:spacing w:before="80" w:after="40" w:line="300" w:lineRule="auto"/>
        <w:jc w:val="left"/>
      </w:pPr>
      <w:r>
        <w:rPr>
          <w:rFonts w:ascii="黑体" w:hAnsi="黑体"/>
          <w:b/>
          <w:sz w:val="21"/>
          <w:rFonts w:eastAsia="黑体"/>
        </w:rPr>
        <w:t>1. 题目描述与要求</w:t>
      </w:r>
    </w:p>
    <w:p>
      <w:pPr>
        <w:spacing w:before="40" w:after="40" w:line="300" w:lineRule="auto"/>
        <w:jc w:val="left"/>
      </w:pPr>
      <w:r>
        <w:rPr>
          <w:rFonts w:ascii="宋体" w:hAnsi="宋体"/>
          <w:b w:val="0"/>
          <w:sz w:val="21"/>
          <w:rFonts w:eastAsia="宋体"/>
        </w:rPr>
        <w:t>基于 Python unittest 框架编写自动化测试套件 test_extract_frames.py，全面覆盖视频元数据解析校验、均匀抽帧数量与文件存在性检查、非法入参（无效路径、抽帧数&lt;=0、负数间隔）的异常捕获与拦截、以及图像处理矩阵维度一致性校验。</w:t>
      </w:r>
    </w:p>
    <w:p>
      <w:pPr>
        <w:spacing w:before="80" w:after="40" w:line="300" w:lineRule="auto"/>
        <w:jc w:val="left"/>
      </w:pPr>
      <w:r>
        <w:rPr>
          <w:rFonts w:ascii="黑体" w:hAnsi="黑体"/>
          <w:b/>
          <w:sz w:val="21"/>
          <w:rFonts w:eastAsia="黑体"/>
        </w:rPr>
        <w:t>2. 单元测试设计与执行结果（test_extract_frames.py）</w:t>
      </w:r>
    </w:p>
    <w:p>
      <w:pPr>
        <w:spacing w:before="40" w:after="80" w:line="300" w:lineRule="auto"/>
        <w:jc w:val="left"/>
      </w:pPr>
      <w:r>
        <w:rPr>
          <w:rFonts w:ascii="宋体" w:hAnsi="宋体"/>
          <w:b w:val="0"/>
          <w:sz w:val="21"/>
          <w:rFonts w:eastAsia="宋体"/>
        </w:rPr>
        <w:t>设计 TestVideoFrameExtractor 测试类，包含 test_video_metadata_loading、test_extract_uniform_count、test_invalid_arguments 与 test_image_preprocessing 共 4 组完整测试用例。终端运行输出全部通过（Ran 4 tests in 0.685s, OK），验证了抽帧与图像处理模块的鲁棒性与边界健壮性。</w:t>
      </w:r>
    </w:p>
    <w:p>
      <w:pPr>
        <w:spacing w:before="200" w:after="80" w:line="300" w:lineRule="auto"/>
        <w:jc w:val="left"/>
      </w:pPr>
      <w:r>
        <w:rPr>
          <w:rFonts w:ascii="黑体" w:hAnsi="黑体"/>
          <w:b/>
          <w:sz w:val="26"/>
          <w:rFonts w:eastAsia="黑体"/>
        </w:rPr>
        <w:t>三、实训小结与心得体会</w:t>
      </w:r>
    </w:p>
    <w:p>
      <w:pPr>
        <w:spacing w:before="40" w:after="40" w:line="300" w:lineRule="auto"/>
        <w:jc w:val="left"/>
      </w:pPr>
      <w:r>
        <w:rPr>
          <w:rFonts w:ascii="宋体" w:hAnsi="宋体"/>
          <w:b w:val="0"/>
          <w:sz w:val="21"/>
          <w:rFonts w:eastAsia="宋体"/>
        </w:rPr>
        <w:t>1. 视频流与时序数据处理要点：监控视频具有高帧率和长时序特征，在目标检测训练前进行科学的抽帧至关重要。直接逐帧提取会导致样本高度冗余并消耗大量标注资源。通过计算时间间隔与安全帧跨度，在全视频时域内均匀采样，既保证了场景光照、物体移动等变化特征的充分覆盖，又将数据集控制在精准规模（100 张高质量图像）。</w:t>
      </w:r>
    </w:p>
    <w:p>
      <w:pPr>
        <w:spacing w:before="40" w:after="40" w:line="300" w:lineRule="auto"/>
        <w:jc w:val="left"/>
      </w:pPr>
      <w:r>
        <w:rPr>
          <w:rFonts w:ascii="宋体" w:hAnsi="宋体"/>
          <w:b w:val="0"/>
          <w:sz w:val="21"/>
          <w:rFonts w:eastAsia="宋体"/>
        </w:rPr>
        <w:t>2. 工程排错与边界防御经验：在处理不同容器格式（如 MP4、AVI）与不同编码协议（如 HEVC/H.265、XVID）的视频时，容器元数据声明的总帧数与实际可成功读取的解码帧数可能存在微小偏差（如结尾索引帧缺失导致 EOF 提前返回）。在抽帧器中引入安全帧区间与异常流式拦截机制，有效避免了数组越界和空指针异常，确保了批量自动化处理流程的高可用性。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