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200" w:lineRule="auto" w:line="276"/>
        <w:jc w:val="left"/>
        <w:rPr/>
      </w:pPr>
      <w:bookmarkStart w:id="0" w:name="_GoBack"/>
      <w:bookmarkEnd w:id="0"/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"I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have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following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research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from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Perplexity: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</w:p>
    <w:p>
      <w:pPr>
        <w:pStyle w:val="style0"/>
        <w:rPr/>
      </w:pPr>
      <w:r>
        <w:rPr>
          <w:lang w:val="en-US"/>
        </w:rPr>
        <w:t>[</w:t>
      </w:r>
      <w:r>
        <w:t>Analyze the attached document which outlines our current strategy. Using your Pro Search capabilities, perform a deep dive into the 2026 market landscape for [Insert your industry/business name here].</w:t>
      </w:r>
    </w:p>
    <w:p>
      <w:pPr>
        <w:pStyle w:val="style0"/>
        <w:rPr/>
      </w:pPr>
      <w:r>
        <w:t>​Please provide:</w:t>
      </w:r>
    </w:p>
    <w:p>
      <w:pPr>
        <w:pStyle w:val="style0"/>
        <w:rPr/>
      </w:pPr>
      <w:r>
        <w:t>​Contextual Sync: How does my attached document align or conflict with current 2026 industry trends?</w:t>
      </w:r>
    </w:p>
    <w:p>
      <w:pPr>
        <w:pStyle w:val="style0"/>
        <w:rPr/>
      </w:pPr>
      <w:r>
        <w:t>​Competitor Mapping: Identify 3 specific competitors making moves right now that impact this strategy.</w:t>
      </w:r>
    </w:p>
    <w:p>
      <w:pPr>
        <w:pStyle w:val="style0"/>
        <w:rPr/>
      </w:pPr>
      <w:r>
        <w:t>​Gap Analysis: What is missing from my document that is required for a 'Strategic Ecosystem Blueprint' (e.g., hidden costs, regulatory shifts, or new tech)?</w:t>
      </w:r>
    </w:p>
    <w:p>
      <w:pPr>
        <w:pStyle w:val="style0"/>
        <w:rPr/>
      </w:pPr>
      <w:r>
        <w:t>​Data Points: Find 3-5 specific statistics or market projections from this year to validate this plan.</w:t>
      </w:r>
    </w:p>
    <w:p>
      <w:pPr>
        <w:pStyle w:val="style0"/>
        <w:rPr/>
      </w:pPr>
      <w:r>
        <w:t>​Cite all sources with links."</w:t>
      </w:r>
    </w:p>
    <w:p>
      <w:pPr>
        <w:pStyle w:val="style0"/>
        <w:rPr/>
      </w:pPr>
      <w:r>
        <w:t>IJIDI-STRATEGIC-NEXUS.docx</w:t>
      </w:r>
    </w:p>
    <w:p>
      <w:pPr>
        <w:pStyle w:val="style0"/>
        <w:rPr/>
      </w:pPr>
      <w:r>
        <w:t>Completed 3 steps</w:t>
      </w:r>
    </w:p>
    <w:p>
      <w:pPr>
        <w:pStyle w:val="style0"/>
        <w:rPr/>
      </w:pPr>
      <w:r>
        <w:t>The IJIDI Strategic Nexus document outlines a multi-entity ecosystem centered on your personal brand as a strategic consultant/counselor/architect, IJIDI International Limited (commercial engine in procurement, agribusiness, smart infrastructure), and IJIDI International Foundation (INGO focused on four pillars: health/WASH, education, economic empowerment, social welfare). It emphasizes AI automation (Taskade, Zapier, Oracle NetSuite), personal branding, revenue ladders targeting $5K/day per entity, and tech stacks for ghost-mode operations.</w:t>
      </w:r>
    </w:p>
    <w:p>
      <w:pPr>
        <w:pStyle w:val="style0"/>
        <w:rPr/>
      </w:pPr>
      <w:r>
        <w:t>Contextual Sync</w:t>
      </w:r>
    </w:p>
    <w:p>
      <w:pPr>
        <w:pStyle w:val="style0"/>
        <w:rPr/>
      </w:pPr>
      <w:r>
        <w:t>Your strategy aligns strongly with 2026 trends in AI-powered consulting and hybrid social enterprise models in Nigeria/West Africa, where firms integrate AI for diagnostics, remote delivery, and ESG/sustainability focus. The document's emphasis on AI agents, digital twins, and cross-entity revenue (e.g., commercial funding INGO) mirrors the rise of social enterprises as a $96bn African GDP contributor (3.2%), blending profit with impact via local funding and partnerships. Conflicts arise in over-reliance on free tools without addressing Nigeria's consulting market shift to proprietary data/AI platforms and regulatory hurdles for INGO registration/funding sustainability.</w:t>
      </w:r>
    </w:p>
    <w:p>
      <w:pPr>
        <w:pStyle w:val="style0"/>
        <w:rPr/>
      </w:pPr>
      <w:r>
        <w:t>Competitor Mapping</w:t>
      </w:r>
    </w:p>
    <w:p>
      <w:pPr>
        <w:pStyle w:val="style0"/>
        <w:rPr/>
      </w:pPr>
      <w:r>
        <w:t>Periscope Consulting (Abuja-based): Specializing in strategy advisory, public financial management, and process improvement—directly competes with your personal consulting/architect role; recently expanded AI-enabled project management services impacting high-ticket NGO/donor bids.</w:t>
      </w:r>
    </w:p>
    <w:p>
      <w:pPr>
        <w:pStyle w:val="style0"/>
        <w:rPr/>
      </w:pPr>
      <w:r>
        <w:t>Mecer Consulting Limited (Abuja): Offers business consulting, HR outsourcing, and finance/accounting with 20% focus on corporate training; their hybrid models challenge your IJIDI Ltd's B2B procurement/infrastructure automation push via similar remote delivery growth.</w:t>
      </w:r>
    </w:p>
    <w:p>
      <w:pPr>
        <w:pStyle w:val="style0"/>
        <w:rPr/>
      </w:pPr>
      <w:r>
        <w:t>Lighted Impact Foundation (Nigeria social enterprise): Active in sustainable development/economic growth solutions; competes with IJIDI Foundation's pillars by securing grants/partnerships in youth empowerment and livelihoods, raising $495K+ in recent funding rounds.</w:t>
      </w:r>
    </w:p>
    <w:p>
      <w:pPr>
        <w:pStyle w:val="style0"/>
        <w:rPr/>
      </w:pPr>
      <w:r>
        <w:t>Gap Analysis</w:t>
      </w:r>
    </w:p>
    <w:p>
      <w:pPr>
        <w:pStyle w:val="style0"/>
        <w:rPr/>
      </w:pPr>
      <w:r>
        <w:t>Missing regulatory compliance details for INGO CAC registration and NGO-specific laws (e.g., Nigeria's evolving SSE policies), plus hidden costs like NetSuite subscription post-free tier (~$1K+/year scaling) and AI tool limits (e.g., Zapier task caps). Lacks ESG/circular economy integration for agribusiness (yogurt brand), critical for 2026 FDI/grants, and blockchain for grant tracking to meet donor transparency demands. No cybersecurity for "ghost mode" automation or MSME tax reforms impacting revenue ladders.</w:t>
      </w:r>
    </w:p>
    <w:p>
      <w:pPr>
        <w:pStyle w:val="style0"/>
        <w:rPr/>
      </w:pPr>
      <w:r>
        <w:t>Data Points</w:t>
      </w:r>
    </w:p>
    <w:p>
      <w:pPr>
        <w:pStyle w:val="style0"/>
        <w:rPr/>
      </w:pPr>
      <w:r>
        <w:t>Nigeria's management consulting market reaches USD 1.65 billion in 2026, growing at 4.28% CAGR to USD 2.03 billion by 2031, driven by FDI/SMEs.</w:t>
      </w:r>
    </w:p>
    <w:p>
      <w:pPr>
        <w:pStyle w:val="style0"/>
        <w:rPr/>
      </w:pPr>
      <w:r>
        <w:t>​</w:t>
      </w:r>
    </w:p>
    <w:p>
      <w:pPr>
        <w:pStyle w:val="style0"/>
        <w:rPr/>
      </w:pPr>
    </w:p>
    <w:p>
      <w:pPr>
        <w:pStyle w:val="style0"/>
        <w:rPr/>
      </w:pPr>
      <w:r>
        <w:t>Africa's 2.18 million social enterprises generate $96 billion revenue (3.2% GDP) and 12 million jobs, prioritizing capital access/skills for scale.</w:t>
      </w:r>
    </w:p>
    <w:p>
      <w:pPr>
        <w:pStyle w:val="style0"/>
        <w:rPr/>
      </w:pPr>
      <w:r>
        <w:t>93% of Nigerian employers plan AI reskilling by 2026; remote consulting delivery grows at 7.12% CAGR amid broadband gains.</w:t>
      </w:r>
    </w:p>
    <w:p>
      <w:pPr>
        <w:pStyle w:val="style0"/>
        <w:rPr/>
      </w:pPr>
      <w:r>
        <w:t>Gavi grants for Nigerian NGOs: US$400K–$1M for vaccine/health projects, aligning with your WASH pillar.</w:t>
      </w:r>
    </w:p>
    <w:p>
      <w:pPr>
        <w:pStyle w:val="style0"/>
        <w:rPr>
          <w:lang w:val="en-US"/>
        </w:rPr>
      </w:pPr>
      <w:r>
        <w:t>African NGOs face funding gaps; local crowdfunding (e.g., Development Exchange Centre Nigeria) boosts sustainability via community partnerships.</w:t>
      </w:r>
      <w:r>
        <w:rPr>
          <w:lang w:val="en-US"/>
        </w:rPr>
        <w:t>]</w:t>
      </w:r>
    </w:p>
    <w:p>
      <w:pPr>
        <w:pStyle w:val="style0"/>
        <w:rPr/>
      </w:pPr>
    </w:p>
    <w:p>
      <w:pPr>
        <w:pStyle w:val="style0"/>
        <w:spacing w:after="200" w:lineRule="auto" w:line="276"/>
        <w:jc w:val="left"/>
        <w:rPr/>
      </w:pP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initiate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Agent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Swarm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build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Strategic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Ecosystem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Blueprint.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Coordinate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multiple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agents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to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verify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market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data,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map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the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stakeholders,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and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generate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a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downloadable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implementation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 xml:space="preserve"> </w:t>
      </w:r>
      <w:r>
        <w:rPr>
          <w:rFonts w:ascii="Calibri" w:cs="Times New Roman" w:eastAsia="宋体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en-US" w:eastAsia="zh-CN"/>
        </w:rPr>
        <w:t>roadmap."</w:t>
      </w:r>
    </w:p>
    <w:p>
      <w:pPr>
        <w:pStyle w:val="style0"/>
        <w:rPr/>
      </w:pPr>
      <w:r>
        <w:rPr>
          <w:lang w:val="en-US"/>
        </w:rPr>
        <w:t>​Act as a Strategic Architect. I need you to build a Strategic Ecosystem Blueprint equivalent to a 'Kimi Agent Swarm' output.</w:t>
      </w:r>
    </w:p>
    <w:p>
      <w:pPr>
        <w:pStyle w:val="style0"/>
        <w:rPr/>
      </w:pPr>
      <w:r>
        <w:rPr>
          <w:lang w:val="en-US"/>
        </w:rPr>
        <w:t>​Please use your Artifacts window to generate:</w:t>
      </w:r>
    </w:p>
    <w:p>
      <w:pPr>
        <w:pStyle w:val="style0"/>
        <w:rPr/>
      </w:pPr>
      <w:r>
        <w:rPr>
          <w:lang w:val="en-US"/>
        </w:rPr>
        <w:t>​A Mermaid Diagram of the Ecosystem Value Chain.</w:t>
      </w:r>
    </w:p>
    <w:p>
      <w:pPr>
        <w:pStyle w:val="style0"/>
        <w:rPr/>
      </w:pPr>
      <w:r>
        <w:rPr>
          <w:lang w:val="en-US"/>
        </w:rPr>
        <w:t>​A Strategic Flywheel (showing how the components accelerate each other).</w:t>
      </w:r>
    </w:p>
    <w:p>
      <w:pPr>
        <w:pStyle w:val="style0"/>
        <w:rPr/>
      </w:pPr>
      <w:r>
        <w:rPr>
          <w:lang w:val="en-US"/>
        </w:rPr>
        <w:t>​A 12-Month Implementation Roadmap in a clean table.</w:t>
      </w:r>
    </w:p>
    <w:p>
      <w:pPr>
        <w:pStyle w:val="style0"/>
        <w:rPr/>
      </w:pPr>
      <w:r>
        <w:rPr>
          <w:lang w:val="en-US"/>
        </w:rPr>
        <w:t>​A Risk vs. Opportunity Matrix for 2026."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625</Words>
  <Characters>4055</Characters>
  <Application>WPS Office</Application>
  <Paragraphs>35</Paragraphs>
  <CharactersWithSpaces>4647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2026-03-21T13:54:44Z</dcterms:created>
  <dc:creator>Infinix X670</dc:creator>
  <lastModifiedBy>Infinix X670</lastModifiedBy>
  <dcterms:modified xsi:type="dcterms:W3CDTF">2026-03-21T21:20:23Z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126db36c54314fdba07f81eec0a1c901</vt:lpwstr>
  </property>
</Properties>
</file>