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Response Plan (IRP)</w:t>
      </w:r>
    </w:p>
    <w:p>
      <w:r>
        <w:t>Organisation Name: ____________________________</w:t>
      </w:r>
    </w:p>
    <w:p>
      <w:r>
        <w:t>Version: 1.0</w:t>
      </w:r>
    </w:p>
    <w:p>
      <w:r>
        <w:t>Last Reviewed: ________________________________</w:t>
      </w:r>
    </w:p>
    <w:p>
      <w:r>
        <w:t>Approved By: __________________________________</w:t>
      </w:r>
    </w:p>
    <w:p>
      <w:r>
        <w:br w:type="page"/>
      </w:r>
    </w:p>
    <w:p>
      <w:pPr>
        <w:pStyle w:val="Heading2"/>
      </w:pPr>
      <w:r>
        <w:t>1. Purpose</w:t>
      </w:r>
    </w:p>
    <w:p>
      <w:r>
        <w:t>This Incident Response Plan (IRP) establishes the processes and responsibilities necessary to detect, respond to, contain, eradicate, and recover from cybersecurity incidents affecting the organisation. The goal is to ensure incidents are handled in a controlled, consistent, and timely manner to minimise impact on business operations, data, customers, and regulatory obligations.</w:t>
      </w:r>
    </w:p>
    <w:p>
      <w:pPr>
        <w:pStyle w:val="Heading2"/>
      </w:pPr>
      <w:r>
        <w:t>2. Scope</w:t>
      </w:r>
    </w:p>
    <w:p>
      <w:r>
        <w:t>This plan applies to all employees, contractors, third parties, all business systems, networks, cloud services, and data assets. It covers all categories of cybersecurity incidents including malware infections, phishing attacks, unauthorised access, data leakage, insider misuse, device theft, and system misconfigurations.</w:t>
      </w:r>
    </w:p>
    <w:p>
      <w:pPr>
        <w:pStyle w:val="Heading2"/>
      </w:pPr>
      <w:r>
        <w:t>3. Definitions</w:t>
      </w:r>
    </w:p>
    <w:p>
      <w:r>
        <w:t>Security Incident: Any event that compromises the confidentiality, integrity or availability of systems, data, or services.</w:t>
      </w:r>
    </w:p>
    <w:p>
      <w:r>
        <w:t>Major Incident: An incident with business-wide impact, potential data loss, legal implications, or operational disruption.</w:t>
      </w:r>
    </w:p>
    <w:p>
      <w:r>
        <w:t>Personal Data Breach (GDPR): A breach leading to accidental or unlawful destruction, loss, alteration, or unauthorised disclosure of personal data.</w:t>
      </w:r>
    </w:p>
    <w:p>
      <w:pPr>
        <w:pStyle w:val="Heading2"/>
      </w:pPr>
      <w:r>
        <w:t>4. Roles &amp; Responsibilities</w:t>
      </w:r>
    </w:p>
    <w:p>
      <w:pPr>
        <w:pStyle w:val="Heading3"/>
      </w:pPr>
      <w:r>
        <w:t>Incident Response Lead (IR Lead)</w:t>
      </w:r>
    </w:p>
    <w:p>
      <w:r>
        <w:t>- Coordinates all incident response activities.</w:t>
      </w:r>
    </w:p>
    <w:p>
      <w:r>
        <w:t>- Authorises containment actions.</w:t>
      </w:r>
    </w:p>
    <w:p>
      <w:r>
        <w:t>- Maintains the incident log.</w:t>
      </w:r>
    </w:p>
    <w:p>
      <w:r>
        <w:t>- Escalates major incidents to management.</w:t>
      </w:r>
    </w:p>
    <w:p>
      <w:pPr>
        <w:pStyle w:val="Heading3"/>
      </w:pPr>
      <w:r>
        <w:t>IT / Technical Response Team</w:t>
      </w:r>
    </w:p>
    <w:p>
      <w:r>
        <w:t>- Investigates technical cause.</w:t>
      </w:r>
    </w:p>
    <w:p>
      <w:r>
        <w:t>- Executes containment and remediation steps.</w:t>
      </w:r>
    </w:p>
    <w:p>
      <w:r>
        <w:t>- Restores affected systems.</w:t>
      </w:r>
    </w:p>
    <w:p>
      <w:pPr>
        <w:pStyle w:val="Heading3"/>
      </w:pPr>
      <w:r>
        <w:t>Senior Management</w:t>
      </w:r>
    </w:p>
    <w:p>
      <w:r>
        <w:t>- Approves major decisions during incidents.</w:t>
      </w:r>
    </w:p>
    <w:p>
      <w:r>
        <w:t>- Communicates with external stakeholders.</w:t>
      </w:r>
    </w:p>
    <w:p>
      <w:pPr>
        <w:pStyle w:val="Heading3"/>
      </w:pPr>
      <w:r>
        <w:t>Data Protection Officer (DPO)</w:t>
      </w:r>
    </w:p>
    <w:p>
      <w:r>
        <w:t>- Assesses GDPR implications.</w:t>
      </w:r>
    </w:p>
    <w:p>
      <w:r>
        <w:t>- Coordinates regulatory notifications.</w:t>
      </w:r>
    </w:p>
    <w:p>
      <w:pPr>
        <w:pStyle w:val="Heading3"/>
      </w:pPr>
      <w:r>
        <w:t>Third-Party MSP</w:t>
      </w:r>
    </w:p>
    <w:p>
      <w:r>
        <w:t>- Provides technical support.</w:t>
      </w:r>
    </w:p>
    <w:p>
      <w:r>
        <w:t>- Assists with investigation and remediation.</w:t>
      </w:r>
    </w:p>
    <w:p>
      <w:pPr>
        <w:pStyle w:val="Heading3"/>
      </w:pPr>
      <w:r>
        <w:t>Communications Lead</w:t>
      </w:r>
    </w:p>
    <w:p>
      <w:r>
        <w:t>- Handles internal and external communications.</w:t>
      </w:r>
    </w:p>
    <w:p>
      <w:r>
        <w:t>- Ensures controlled messaging.</w:t>
      </w:r>
    </w:p>
    <w:p>
      <w:pPr>
        <w:pStyle w:val="Heading2"/>
      </w:pPr>
      <w:r>
        <w:t>5. Incident Severity Levels</w:t>
      </w:r>
    </w:p>
    <w:tbl>
      <w:tblPr>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Description</w:t>
            </w:r>
          </w:p>
        </w:tc>
        <w:tc>
          <w:tcPr>
            <w:tcW w:type="dxa" w:w="2880"/>
          </w:tcPr>
          <w:p>
            <w:r>
              <w:t>Examples</w:t>
            </w:r>
          </w:p>
        </w:tc>
      </w:tr>
      <w:tr>
        <w:tc>
          <w:tcPr>
            <w:tcW w:type="dxa" w:w="2880"/>
          </w:tcPr>
          <w:p>
            <w:r>
              <w:t>Low</w:t>
            </w:r>
          </w:p>
        </w:tc>
        <w:tc>
          <w:tcPr>
            <w:tcW w:type="dxa" w:w="2880"/>
          </w:tcPr>
          <w:p>
            <w:r>
              <w:t>Minor incident, limited user impact.</w:t>
            </w:r>
          </w:p>
        </w:tc>
        <w:tc>
          <w:tcPr>
            <w:tcW w:type="dxa" w:w="2880"/>
          </w:tcPr>
          <w:p>
            <w:r>
              <w:t>Spam, phishing attempt without compromise.</w:t>
            </w:r>
          </w:p>
        </w:tc>
      </w:tr>
      <w:tr>
        <w:tc>
          <w:tcPr>
            <w:tcW w:type="dxa" w:w="2880"/>
          </w:tcPr>
          <w:p>
            <w:r>
              <w:t>Medium</w:t>
            </w:r>
          </w:p>
        </w:tc>
        <w:tc>
          <w:tcPr>
            <w:tcW w:type="dxa" w:w="2880"/>
          </w:tcPr>
          <w:p>
            <w:r>
              <w:t>Potential impact on multiple systems.</w:t>
            </w:r>
          </w:p>
        </w:tc>
        <w:tc>
          <w:tcPr>
            <w:tcW w:type="dxa" w:w="2880"/>
          </w:tcPr>
          <w:p>
            <w:r>
              <w:t>Localised malware infection.</w:t>
            </w:r>
          </w:p>
        </w:tc>
      </w:tr>
      <w:tr>
        <w:tc>
          <w:tcPr>
            <w:tcW w:type="dxa" w:w="2880"/>
          </w:tcPr>
          <w:p>
            <w:r>
              <w:t>High</w:t>
            </w:r>
          </w:p>
        </w:tc>
        <w:tc>
          <w:tcPr>
            <w:tcW w:type="dxa" w:w="2880"/>
          </w:tcPr>
          <w:p>
            <w:r>
              <w:t>Significant impact or risk.</w:t>
            </w:r>
          </w:p>
        </w:tc>
        <w:tc>
          <w:tcPr>
            <w:tcW w:type="dxa" w:w="2880"/>
          </w:tcPr>
          <w:p>
            <w:r>
              <w:t>Confirmed account compromise.</w:t>
            </w:r>
          </w:p>
        </w:tc>
      </w:tr>
      <w:tr>
        <w:tc>
          <w:tcPr>
            <w:tcW w:type="dxa" w:w="2880"/>
          </w:tcPr>
          <w:p>
            <w:r>
              <w:t>Critical</w:t>
            </w:r>
          </w:p>
        </w:tc>
        <w:tc>
          <w:tcPr>
            <w:tcW w:type="dxa" w:w="2880"/>
          </w:tcPr>
          <w:p>
            <w:r>
              <w:t>Major crisis, data breach or outage.</w:t>
            </w:r>
          </w:p>
        </w:tc>
        <w:tc>
          <w:tcPr>
            <w:tcW w:type="dxa" w:w="2880"/>
          </w:tcPr>
          <w:p>
            <w:r>
              <w:t>Ransomware outbreak, data exfiltration.</w:t>
            </w:r>
          </w:p>
        </w:tc>
      </w:tr>
    </w:tbl>
    <w:p>
      <w:pPr>
        <w:pStyle w:val="Heading2"/>
      </w:pPr>
      <w:r>
        <w:t>6. Incident Response Lifecycle</w:t>
      </w:r>
    </w:p>
    <w:p>
      <w:pPr>
        <w:pStyle w:val="Heading3"/>
      </w:pPr>
      <w:r>
        <w:t>6.1 Identification &amp; Reporting</w:t>
      </w:r>
    </w:p>
    <w:p>
      <w:r>
        <w:t>- Users, monitoring systems, or external parties may detect incidents.</w:t>
      </w:r>
    </w:p>
    <w:p>
      <w:r>
        <w:t>- Create an entry in the Incident Logbook.</w:t>
      </w:r>
    </w:p>
    <w:p>
      <w:r>
        <w:t>- Identify affected systems and classify severity.</w:t>
      </w:r>
    </w:p>
    <w:p>
      <w:pPr>
        <w:pStyle w:val="Heading3"/>
      </w:pPr>
      <w:r>
        <w:t>6.2 Containment</w:t>
      </w:r>
    </w:p>
    <w:p>
      <w:r>
        <w:t>- Disconnect affected devices.</w:t>
      </w:r>
    </w:p>
    <w:p>
      <w:r>
        <w:t>- Disable compromised accounts.</w:t>
      </w:r>
    </w:p>
    <w:p>
      <w:r>
        <w:t>- Block malicious IP addresses or domains.</w:t>
      </w:r>
    </w:p>
    <w:p>
      <w:pPr>
        <w:pStyle w:val="Heading3"/>
      </w:pPr>
      <w:r>
        <w:t>6.3 Eradication</w:t>
      </w:r>
    </w:p>
    <w:p>
      <w:r>
        <w:t>- Remove malware or malicious artefacts.</w:t>
      </w:r>
    </w:p>
    <w:p>
      <w:r>
        <w:t>- Reset passwords and remove malicious rules.</w:t>
      </w:r>
    </w:p>
    <w:p>
      <w:r>
        <w:t>- Revoke unauthorised OAuth tokens.</w:t>
      </w:r>
    </w:p>
    <w:p>
      <w:pPr>
        <w:pStyle w:val="Heading3"/>
      </w:pPr>
      <w:r>
        <w:t>6.4 Recovery</w:t>
      </w:r>
    </w:p>
    <w:p>
      <w:r>
        <w:t>- Restore systems from clean backups.</w:t>
      </w:r>
    </w:p>
    <w:p>
      <w:r>
        <w:t>- Re-image compromised devices.</w:t>
      </w:r>
    </w:p>
    <w:p>
      <w:r>
        <w:t>- Monitor for reoccurrence.</w:t>
      </w:r>
    </w:p>
    <w:p>
      <w:pPr>
        <w:pStyle w:val="Heading3"/>
      </w:pPr>
      <w:r>
        <w:t>6.5 Lessons Learned</w:t>
      </w:r>
    </w:p>
    <w:p>
      <w:r>
        <w:t>- Conduct an after-action review.</w:t>
      </w:r>
    </w:p>
    <w:p>
      <w:r>
        <w:t>- Document root cause and improvements.</w:t>
      </w:r>
    </w:p>
    <w:p>
      <w:r>
        <w:t>- Update the IR Plan accordingly.</w:t>
      </w:r>
    </w:p>
    <w:p>
      <w:pPr>
        <w:pStyle w:val="Heading2"/>
      </w:pPr>
      <w:r>
        <w:t>7. Evidence Preservation</w:t>
      </w:r>
    </w:p>
    <w:p>
      <w:r>
        <w:t>To support investigations and regulatory compliance, evidence must be preserved, including logs, screenshots, emails, and relevant system artefacts. Shutting down systems prematurely should be avoided to prevent evidence loss.</w:t>
      </w:r>
    </w:p>
    <w:p>
      <w:pPr>
        <w:pStyle w:val="Heading2"/>
      </w:pPr>
      <w:r>
        <w:t>8. Communication Plan</w:t>
      </w:r>
    </w:p>
    <w:p>
      <w:pPr>
        <w:pStyle w:val="Heading3"/>
      </w:pPr>
      <w:r>
        <w:t>8.1 Internal Communication</w:t>
      </w:r>
    </w:p>
    <w:p>
      <w:r>
        <w:t>Internal communications during an incident must be timely, factual, and limited to essential personnel.</w:t>
      </w:r>
    </w:p>
    <w:p>
      <w:pPr>
        <w:pStyle w:val="Heading3"/>
      </w:pPr>
      <w:r>
        <w:t>8.2 External Communication</w:t>
      </w:r>
    </w:p>
    <w:p>
      <w:r>
        <w:t>External communication must be handled only by Senior Management, Communications Lead, or the DPO. Stakeholders include regulators, customers, partners, and law enforcement.</w:t>
      </w:r>
    </w:p>
    <w:p>
      <w:pPr>
        <w:pStyle w:val="Heading2"/>
      </w:pPr>
      <w:r>
        <w:t>9. Regulatory &amp; Legal Considerations</w:t>
      </w:r>
    </w:p>
    <w:p>
      <w:r>
        <w:t>Under GDPR, notifiable personal data breaches must be reported to the ICO within 72 hours. The DPO must assess regulatory implications and document all decisions.</w:t>
      </w:r>
    </w:p>
    <w:p>
      <w:pPr>
        <w:pStyle w:val="Heading2"/>
      </w:pPr>
      <w:r>
        <w:t>10. Tools &amp; Resources Required</w:t>
      </w:r>
    </w:p>
    <w:p>
      <w:r>
        <w:t>- Microsoft 365 Security Center alerts.</w:t>
      </w:r>
    </w:p>
    <w:p>
      <w:r>
        <w:t>- PowerShell scripts (mailbox rule checks, MFA enforcement).</w:t>
      </w:r>
    </w:p>
    <w:p>
      <w:r>
        <w:t>- Basic log retention (Windows Event Logs, M365 Audit Log).</w:t>
      </w:r>
    </w:p>
    <w:p>
      <w:r>
        <w:t>- Clean system backups (cloud or on-prem).</w:t>
      </w:r>
    </w:p>
    <w:p>
      <w:r>
        <w:t>- This IR readiness toolkit.</w:t>
      </w:r>
    </w:p>
    <w:p>
      <w:pPr>
        <w:pStyle w:val="Heading2"/>
      </w:pPr>
      <w:r>
        <w:t>11. Training &amp; Awareness</w:t>
      </w:r>
    </w:p>
    <w:p>
      <w:r>
        <w:t>Employees must receive annual security awareness training and know how to report suspicious activity. At least one tabletop exercise should be held annually.</w:t>
      </w:r>
    </w:p>
    <w:p>
      <w:pPr>
        <w:pStyle w:val="Heading2"/>
      </w:pPr>
      <w:r>
        <w:t>12. Plan Maintenance</w:t>
      </w:r>
    </w:p>
    <w:p>
      <w:r>
        <w:t>This plan must be reviewed annually, updated after major incidents, and approved by senior management.</w:t>
      </w:r>
    </w:p>
    <w:p>
      <w:pPr>
        <w:pStyle w:val="Heading2"/>
      </w:pPr>
      <w:r>
        <w:t>13. Document History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Changes</w:t>
            </w:r>
          </w:p>
        </w:tc>
        <w:tc>
          <w:tcPr>
            <w:tcW w:type="dxa" w:w="1728"/>
          </w:tcPr>
          <w:p>
            <w:r>
              <w:t>Author</w:t>
            </w:r>
          </w:p>
        </w:tc>
        <w:tc>
          <w:tcPr>
            <w:tcW w:type="dxa" w:w="1728"/>
          </w:tcPr>
          <w:p>
            <w:r>
              <w:t>Approved By</w:t>
            </w:r>
          </w:p>
        </w:tc>
      </w:tr>
      <w:tr>
        <w:tc>
          <w:tcPr>
            <w:tcW w:type="dxa" w:w="1728"/>
          </w:tcPr>
          <w:p>
            <w:r>
              <w:t>1.0</w:t>
            </w:r>
          </w:p>
        </w:tc>
        <w:tc>
          <w:tcPr>
            <w:tcW w:type="dxa" w:w="1728"/>
          </w:tcPr>
          <w:p>
            <w:r>
              <w:t>________</w:t>
            </w:r>
          </w:p>
        </w:tc>
        <w:tc>
          <w:tcPr>
            <w:tcW w:type="dxa" w:w="1728"/>
          </w:tcPr>
          <w:p>
            <w:r>
              <w:t>Initial version</w:t>
            </w:r>
          </w:p>
        </w:tc>
        <w:tc>
          <w:tcPr>
            <w:tcW w:type="dxa" w:w="1728"/>
          </w:tcPr>
          <w:p>
            <w:r>
              <w:t>________</w:t>
            </w:r>
          </w:p>
        </w:tc>
        <w:tc>
          <w:tcPr>
            <w:tcW w:type="dxa" w:w="1728"/>
          </w:tcPr>
          <w:p>
            <w:r>
              <w:t>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