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Incident Response Plan (IRP)</w:t>
      </w:r>
    </w:p>
    <w:p>
      <w:pPr>
        <w:pStyle w:val="Heading2"/>
      </w:pPr>
      <w:r>
        <w:t>Purpose</w:t>
      </w:r>
    </w:p>
    <w:p>
      <w:r>
        <w:t>This Incident Response Plan (IRP) establishes the processes and responsibilities necessary to detect, respond to, contain, eradicate, and recover from cybersecurity incidents affecting the organisation.</w:t>
      </w:r>
    </w:p>
    <w:p>
      <w:pPr>
        <w:pStyle w:val="Heading2"/>
      </w:pPr>
      <w:r>
        <w:t>Scope</w:t>
      </w:r>
    </w:p>
    <w:p>
      <w:r>
        <w:t>This plan applies to all employees, contractors, third parties, business systems, networks, cloud services, and data assets.</w:t>
      </w:r>
    </w:p>
    <w:p>
      <w:pPr>
        <w:pStyle w:val="Heading2"/>
      </w:pPr>
      <w:r>
        <w:t>Roles &amp; Responsibilities</w:t>
      </w:r>
    </w:p>
    <w:p>
      <w:r>
        <w:t>This section outlines responsibilities for the IR Lead, IT Response Team, Senior Management, DPO, MSPs, and Communications Lead.</w:t>
      </w:r>
    </w:p>
    <w:p>
      <w:pPr>
        <w:pStyle w:val="Heading2"/>
      </w:pPr>
      <w:r>
        <w:t>Incident Severity Levels</w:t>
      </w:r>
    </w:p>
    <w:p>
      <w:r>
        <w:t>Severity levels include Low, Medium, High, and Critical, based on impact and data sensitivity.</w:t>
      </w:r>
    </w:p>
    <w:p>
      <w:pPr>
        <w:pStyle w:val="Heading2"/>
      </w:pPr>
      <w:r>
        <w:t>Incident Response Lifecycle</w:t>
      </w:r>
    </w:p>
    <w:p>
      <w:r>
        <w:t>Identification, Containment, Eradication, Recovery, and Lessons Learned phases.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