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rFonts w:ascii="Times New Roman" w:hAnsi="Times New Roman"/>
          <w:b/>
          <w:i w:val="0"/>
          <w:color w:val="000000"/>
          <w:sz w:val="28"/>
        </w:rPr>
        <w:t>RESEARCH PROJECT REPORT</w:t>
        <w:br/>
        <w:t>PREDICTIVE ANALYTICS LABORATORY</w:t>
      </w:r>
    </w:p>
    <w:p>
      <w:pPr>
        <w:spacing w:line="360" w:lineRule="auto" w:after="480"/>
        <w:jc w:val="center"/>
      </w:pPr>
      <w:r>
        <w:rPr>
          <w:rFonts w:ascii="Times New Roman" w:hAnsi="Times New Roman"/>
          <w:b/>
          <w:i w:val="0"/>
          <w:color w:val="000000"/>
          <w:sz w:val="32"/>
        </w:rPr>
        <w:t>DUAL-TIER HIERARCHICAL DEMAND FORECASTING IN LARGE-SCALE KITCHEN LOGISTICS: INTEGRATING GRADIENT BOOSTED REGRESSORS WITH MULTIPLICATIVE SARIMA ECONOMETRICS</w:t>
      </w:r>
    </w:p>
    <w:tbl>
      <w:tblPr>
        <w:tblW w:type="auto" w:w="0"/>
        <w:jc w:val="center"/>
        <w:tblLayout w:type="fixed"/>
        <w:tblLook w:firstColumn="1" w:firstRow="1" w:lastColumn="0" w:lastRow="0" w:noHBand="0" w:noVBand="1" w:val="04A0"/>
      </w:tblPr>
      <w:tblGrid>
        <w:gridCol w:w="4680"/>
        <w:gridCol w:w="4680"/>
      </w:tblGrid>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Project Title</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Dual-Tier Hierarchical Demand Forecasting in Large-Scale Kitchen Logistics</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Department</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Department of Computer Science &amp; Engineering</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Name of Student</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[Student Name]</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Registration Number</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[Registration Number]</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Section</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[Section / Batch]</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Date of Start</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August 2026</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Date of End</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October 2026</w:t>
            </w:r>
          </w:p>
        </w:tc>
      </w:tr>
      <w:tr>
        <w:tc>
          <w:tcPr>
            <w:tcW w:type="dxa" w:w="3168"/>
            <w:tcBorders>
              <w:top w:val="single" w:sz="4" w:space="0" w:color="D3D3D3"/>
              <w:left w:val="single" w:sz="4" w:space="0" w:color="D3D3D3"/>
              <w:bottom w:val="single" w:sz="4" w:space="0" w:color="D3D3D3"/>
              <w:right w:val="single" w:sz="4" w:space="0" w:color="D3D3D3"/>
            </w:tcBorders>
            <w:shd w:fill="F5F5F5"/>
          </w:tcPr>
          <w:p>
            <w:pPr>
              <w:spacing w:line="276" w:lineRule="auto" w:after="60"/>
              <w:jc w:val="left"/>
            </w:pPr>
            <w:r>
              <w:rPr>
                <w:rFonts w:ascii="Times New Roman" w:hAnsi="Times New Roman"/>
                <w:b/>
                <w:i w:val="0"/>
                <w:color w:val="000000"/>
                <w:sz w:val="22"/>
              </w:rPr>
              <w:t>Academic Session</w:t>
            </w:r>
          </w:p>
        </w:tc>
        <w:tc>
          <w:tcPr>
            <w:tcW w:type="dxa" w:w="6192"/>
            <w:tcBorders>
              <w:top w:val="single" w:sz="4" w:space="0" w:color="D3D3D3"/>
              <w:left w:val="single" w:sz="4" w:space="0" w:color="D3D3D3"/>
              <w:bottom w:val="single" w:sz="4" w:space="0" w:color="D3D3D3"/>
              <w:right w:val="single" w:sz="4" w:space="0" w:color="D3D3D3"/>
            </w:tcBorders>
          </w:tcPr>
          <w:p>
            <w:pPr>
              <w:spacing w:line="276" w:lineRule="auto" w:after="60"/>
              <w:jc w:val="left"/>
            </w:pPr>
            <w:r>
              <w:rPr>
                <w:rFonts w:ascii="Times New Roman" w:hAnsi="Times New Roman"/>
                <w:b w:val="0"/>
                <w:i w:val="0"/>
                <w:color w:val="000000"/>
                <w:sz w:val="22"/>
              </w:rPr>
              <w:t>2026 – 2027</w:t>
            </w:r>
          </w:p>
        </w:tc>
      </w:tr>
    </w:tbl>
    <w:p>
      <w:r>
        <w:br w:type="page"/>
      </w:r>
    </w:p>
    <w:p>
      <w:pPr>
        <w:spacing w:line="360" w:lineRule="auto" w:after="240"/>
        <w:jc w:val="left"/>
      </w:pPr>
      <w:r>
        <w:rPr>
          <w:rFonts w:ascii="Times New Roman" w:hAnsi="Times New Roman"/>
          <w:b/>
          <w:i w:val="0"/>
          <w:color w:val="000000"/>
          <w:sz w:val="32"/>
        </w:rPr>
        <w:t>CERTIFICATE OF APPROVAL</w:t>
      </w:r>
    </w:p>
    <w:p>
      <w:pPr>
        <w:spacing w:line="360" w:lineRule="auto" w:after="120"/>
        <w:jc w:val="both"/>
      </w:pPr>
      <w:r>
        <w:rPr>
          <w:rFonts w:ascii="Times New Roman" w:hAnsi="Times New Roman"/>
          <w:sz w:val="24"/>
        </w:rPr>
        <w:t>This is to certify that the research project report entitled "Dual-Tier Hierarchical Demand Forecasting in Large-Scale Kitchen Logistics: Integrating Gradient Boosted Regressors with Multiplicative SARIMA Econometrics" submitted by [Student Name] (Registration Number: [Registration Number]) in partial fulfillment of the requirements for the coursework in Predictive Analytics (Department of Computer Science &amp; Engineering) is a bonafide record of work carried out under our supervision.</w:t>
      </w:r>
    </w:p>
    <w:p>
      <w:pPr>
        <w:spacing w:line="360" w:lineRule="auto" w:after="120"/>
        <w:jc w:val="both"/>
      </w:pPr>
      <w:r>
        <w:rPr>
          <w:rFonts w:ascii="Times New Roman" w:hAnsi="Times New Roman"/>
          <w:sz w:val="24"/>
        </w:rPr>
        <w:t>The results embodied in this report have not been submitted to any other University or Institute for the award of any degree, diploma, or certificate. The modeling pipelines, statistical evaluations, and benchmark conclusions have been rigorously vetted against standard empirical data science protocols.</w:t>
      </w:r>
    </w:p>
    <w:p>
      <w:pPr>
        <w:spacing w:before="1200" w:line="360" w:lineRule="auto" w:after="120"/>
        <w:jc w:val="both"/>
      </w:pPr>
      <w:r>
        <w:rPr>
          <w:rFonts w:ascii="Times New Roman" w:hAnsi="Times New Roman"/>
          <w:b/>
          <w:i w:val="0"/>
          <w:color w:val="000000"/>
          <w:sz w:val="22"/>
        </w:rPr>
        <w:t>______________________________                      ______________________________</w:t>
        <w:br/>
        <w:t>Project Supervisor                                                 Head of Department</w:t>
        <w:br/>
        <w:t>Department of Computer Science &amp; Engg.              Department of Computer Science &amp; Engg.</w:t>
      </w:r>
    </w:p>
    <w:p>
      <w:r>
        <w:br w:type="page"/>
      </w:r>
    </w:p>
    <w:p>
      <w:pPr>
        <w:spacing w:line="360" w:lineRule="auto" w:after="240"/>
        <w:jc w:val="left"/>
      </w:pPr>
      <w:r>
        <w:rPr>
          <w:rFonts w:ascii="Times New Roman" w:hAnsi="Times New Roman"/>
          <w:b/>
          <w:i w:val="0"/>
          <w:color w:val="000000"/>
          <w:sz w:val="32"/>
        </w:rPr>
        <w:t>DECLARATION BY THE STUDENT / RESEARCHER</w:t>
      </w:r>
    </w:p>
    <w:p>
      <w:pPr>
        <w:spacing w:line="360" w:lineRule="auto" w:after="120"/>
        <w:jc w:val="both"/>
      </w:pPr>
      <w:r>
        <w:rPr>
          <w:rFonts w:ascii="Times New Roman" w:hAnsi="Times New Roman"/>
          <w:sz w:val="24"/>
        </w:rPr>
        <w:t>I hereby declare that the research project report entitled "Dual-Tier Hierarchical Demand Forecasting in Large-Scale Kitchen Logistics: Integrating Gradient Boosted Regressors with Multiplicative SARIMA Econometrics" is my own original work conducted under the academic guidance of faculty members of the Department of Computer Science &amp; Engineering.</w:t>
      </w:r>
    </w:p>
    <w:p>
      <w:pPr>
        <w:spacing w:line="360" w:lineRule="auto" w:after="120"/>
        <w:jc w:val="both"/>
      </w:pPr>
      <w:r>
        <w:rPr>
          <w:rFonts w:ascii="Times New Roman" w:hAnsi="Times New Roman"/>
          <w:sz w:val="24"/>
        </w:rPr>
        <w:t>I confirm that all empirical datasets analyzed (consisting of 456,548 fulfillment transactions across 145 weeks and 77 fulfillment centers) have been evaluated using authentic, reproducible econometric and machine learning methodologies. All literature sources, baseline implementations, and statistical libraries have been duly acknowledged and cited in accordance with IEEE reference guidelines.</w:t>
      </w:r>
    </w:p>
    <w:p>
      <w:pPr>
        <w:spacing w:before="1200" w:line="360" w:lineRule="auto" w:after="120"/>
        <w:jc w:val="left"/>
      </w:pPr>
      <w:r>
        <w:rPr>
          <w:rFonts w:ascii="Times New Roman" w:hAnsi="Times New Roman"/>
          <w:b/>
          <w:i w:val="0"/>
          <w:color w:val="000000"/>
          <w:sz w:val="22"/>
        </w:rPr>
        <w:t>Date: October 25, 2026</w:t>
        <w:br/>
        <w:t>Place: Jaipur, India                                                    [Signature of the Student]</w:t>
        <w:br/>
        <w:t xml:space="preserve">                                                                                      [Student Name]</w:t>
      </w:r>
    </w:p>
    <w:p>
      <w:r>
        <w:br w:type="page"/>
      </w:r>
    </w:p>
    <w:p>
      <w:pPr>
        <w:spacing w:line="360" w:lineRule="auto" w:after="240"/>
        <w:jc w:val="left"/>
      </w:pPr>
      <w:r>
        <w:rPr>
          <w:rFonts w:ascii="Times New Roman" w:hAnsi="Times New Roman"/>
          <w:b/>
          <w:i w:val="0"/>
          <w:color w:val="000000"/>
          <w:sz w:val="32"/>
        </w:rPr>
        <w:t>ACKNOWLEDGEMENT</w:t>
      </w:r>
    </w:p>
    <w:p>
      <w:pPr>
        <w:spacing w:line="360" w:lineRule="auto" w:after="120"/>
        <w:jc w:val="both"/>
      </w:pPr>
      <w:r>
        <w:rPr>
          <w:rFonts w:ascii="Times New Roman" w:hAnsi="Times New Roman"/>
          <w:sz w:val="24"/>
        </w:rPr>
        <w:t>I express my profound gratitude to the Department of Computer Science &amp; Engineering for providing the academic infrastructure, computing resources, and research guidance necessary to complete this project.</w:t>
      </w:r>
    </w:p>
    <w:p>
      <w:pPr>
        <w:spacing w:line="360" w:lineRule="auto" w:after="120"/>
        <w:jc w:val="both"/>
      </w:pPr>
      <w:r>
        <w:rPr>
          <w:rFonts w:ascii="Times New Roman" w:hAnsi="Times New Roman"/>
          <w:sz w:val="24"/>
        </w:rPr>
        <w:t>I extend my sincere thanks to my project supervisor for invaluable technical guidance, constructive critiques, and meticulous review of the modeling formulation, particularly in formulating the non-linear objective function and addressing collinearity in generalized linear models.</w:t>
      </w:r>
    </w:p>
    <w:p>
      <w:pPr>
        <w:spacing w:line="360" w:lineRule="auto" w:after="120"/>
        <w:jc w:val="both"/>
      </w:pPr>
      <w:r>
        <w:rPr>
          <w:rFonts w:ascii="Times New Roman" w:hAnsi="Times New Roman"/>
          <w:sz w:val="24"/>
        </w:rPr>
        <w:t>I also acknowledge the open-source data science community behind Python, Scikit-learn, LightGBM, and Statsmodels, whose rigorous algorithmic frameworks enabled the seamless empirical execution of both tree-based ensemble learning and classical SARIMA time-series econometrics.</w:t>
      </w:r>
    </w:p>
    <w:p>
      <w:r>
        <w:br w:type="page"/>
      </w:r>
    </w:p>
    <w:p>
      <w:pPr>
        <w:spacing w:line="360" w:lineRule="auto" w:after="240"/>
        <w:jc w:val="left"/>
      </w:pPr>
      <w:r>
        <w:rPr>
          <w:rFonts w:ascii="Times New Roman" w:hAnsi="Times New Roman"/>
          <w:b/>
          <w:i w:val="0"/>
          <w:color w:val="000000"/>
          <w:sz w:val="32"/>
        </w:rPr>
        <w:t>ABSTRACT</w:t>
      </w:r>
    </w:p>
    <w:p>
      <w:pPr>
        <w:spacing w:line="360" w:lineRule="auto" w:after="120"/>
        <w:jc w:val="both"/>
      </w:pPr>
      <w:r>
        <w:rPr>
          <w:rFonts w:ascii="Times New Roman" w:hAnsi="Times New Roman"/>
          <w:sz w:val="24"/>
        </w:rPr>
        <w:t>Accurate demand forecasting is the critical operational linchpin of modern cloud kitchens, meal fulfillment centers, and online food delivery networks. In large-scale kitchen logistics, operators face an acute asymmetric loss trade-off: over-predicting meal order volumes incurs immediate raw ingredient spoilage and inventory holding costs, whereas under-predicting results in severe stockouts, courier delivery delays, and degraded customer retention. This study proposes and evaluates a comprehensive dual-tier hierarchical demand forecasting framework designed to optimize kitchen supply chain operations across both micro SKU-level meal demand and macro network-wide capacity sizing.</w:t>
      </w:r>
    </w:p>
    <w:p>
      <w:pPr>
        <w:spacing w:line="360" w:lineRule="auto" w:after="120"/>
        <w:jc w:val="both"/>
      </w:pPr>
      <w:r>
        <w:rPr>
          <w:rFonts w:ascii="Times New Roman" w:hAnsi="Times New Roman"/>
          <w:sz w:val="24"/>
        </w:rPr>
        <w:t>The empirical evaluation is conducted on a multi-center fulfillment dataset encompassing 456,548 transactions spanning 145 consecutive weeks across 77 regional fulfillment hubs and 51 distinct meal offerings across India. To prevent lookahead data leakage, a strict out-of-sample chronological holdout protocol is implemented: models are trained on Weeks 1 through 120 (374,398 transactions) and tested strictly on unseen holdout Weeks 121 through 145 (82,150 transactions).</w:t>
      </w:r>
    </w:p>
    <w:p>
      <w:pPr>
        <w:spacing w:line="360" w:lineRule="auto" w:after="120"/>
        <w:jc w:val="both"/>
      </w:pPr>
      <w:r>
        <w:rPr>
          <w:rFonts w:ascii="Times New Roman" w:hAnsi="Times New Roman"/>
          <w:sz w:val="24"/>
        </w:rPr>
        <w:t>At the micro SKU tier, an engineered gradient boosted decision tree pipeline using LightGBM with a logarithmic target transformation log1p(num_orders) achieves a test Mean Absolute Error (MAE) of 71.84 orders, Root Mean Squared Error (RMSE) of 168.77 orders, and coefficient of determination (R²) of 0.7873. This performance demonstrates a 30.3% error reduction over naive lag-1 persistence (MAE 102.98) and a 31.0% improvement over trailing 4-week moving average heuristics (MAE 104.11), while significantly outperforming regularized Ridge regression (MAE 96.49) and Poisson generalized linear models (MAE 106.02). Feature importance analysis reveals that rolling momentum features (orders_lag_1w and rolling_mean_4w) account for over 44.2% of directional split gain, while promotional mechanisms (emailer campaigns and homepage featured banners) yield non-linear demand expansions exceeding +30.8%. At the macro fleet provisioning tier, a multiplicative seasonal ARIMA (SARIMA) specification (0,1,2)(1,0,1)₄ captures 12-week quarterly purchasing rhythms, achieving an out-of-sample Mean Absolute Percentage Error (MAPE) of 9.64% and an Akaike Information Criterion (AIC) of 2,956.03. Finally, an interactive web decision support system (FoodPulse AI) is deployed to translate predictive outputs into actionable kitchen ingredient batching and courier dispatch schedules.</w:t>
      </w:r>
    </w:p>
    <w:p>
      <w:pPr>
        <w:spacing w:line="360" w:lineRule="auto" w:after="120"/>
        <w:jc w:val="both"/>
      </w:pPr>
      <w:r>
        <w:rPr>
          <w:rFonts w:ascii="Times New Roman" w:hAnsi="Times New Roman"/>
          <w:b/>
          <w:sz w:val="24"/>
        </w:rPr>
        <w:t xml:space="preserve">Keywords: </w:t>
      </w:r>
      <w:r>
        <w:rPr>
          <w:rFonts w:ascii="Times New Roman" w:hAnsi="Times New Roman"/>
          <w:sz w:val="24"/>
        </w:rPr>
        <w:t>Keywords: Demand Forecasting, Cloud Kitchen Logistics, LightGBM, SARIMA Econometrics, Price Elasticity, Time Series Decomposition, Supply Chain Optimization.</w:t>
      </w:r>
    </w:p>
    <w:p>
      <w:r>
        <w:br w:type="page"/>
      </w:r>
    </w:p>
    <w:p>
      <w:pPr>
        <w:spacing w:line="360" w:lineRule="auto" w:after="240"/>
        <w:jc w:val="left"/>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line="276" w:lineRule="auto" w:after="40"/>
              <w:jc w:val="both"/>
            </w:pPr>
            <w:r>
              <w:rPr>
                <w:rFonts w:ascii="Times New Roman" w:hAnsi="Times New Roman"/>
                <w:b/>
                <w:i w:val="0"/>
                <w:color w:val="000000"/>
                <w:sz w:val="21"/>
              </w:rPr>
              <w:t>Preliminary Pages</w:t>
            </w:r>
          </w:p>
        </w:tc>
        <w:tc>
          <w:tcPr>
            <w:tcW w:type="dxa" w:w="1440"/>
          </w:tcPr>
          <w:p>
            <w:pPr>
              <w:spacing w:line="276" w:lineRule="auto" w:after="40"/>
              <w:jc w:val="right"/>
            </w:pPr>
            <w:r>
              <w:rPr>
                <w:rFonts w:ascii="Times New Roman" w:hAnsi="Times New Roman"/>
                <w:b/>
                <w:i w:val="0"/>
                <w:color w:val="000000"/>
                <w:sz w:val="21"/>
              </w:rPr>
              <w:t>i – v</w:t>
            </w:r>
          </w:p>
        </w:tc>
      </w:tr>
      <w:tr>
        <w:tc>
          <w:tcPr>
            <w:tcW w:type="dxa" w:w="7920"/>
          </w:tcPr>
          <w:p>
            <w:pPr>
              <w:spacing w:line="276" w:lineRule="auto" w:after="40"/>
              <w:jc w:val="both"/>
            </w:pPr>
            <w:r>
              <w:rPr>
                <w:rFonts w:ascii="Times New Roman" w:hAnsi="Times New Roman"/>
                <w:b/>
                <w:i w:val="0"/>
                <w:color w:val="000000"/>
                <w:sz w:val="21"/>
              </w:rPr>
              <w:t>Chapter 1: Introduction</w:t>
            </w:r>
          </w:p>
        </w:tc>
        <w:tc>
          <w:tcPr>
            <w:tcW w:type="dxa" w:w="1440"/>
          </w:tcPr>
          <w:p>
            <w:pPr>
              <w:spacing w:line="276" w:lineRule="auto" w:after="40"/>
              <w:jc w:val="right"/>
            </w:pPr>
            <w:r>
              <w:rPr>
                <w:rFonts w:ascii="Times New Roman" w:hAnsi="Times New Roman"/>
                <w:b/>
                <w:i w:val="0"/>
                <w:color w:val="000000"/>
                <w:sz w:val="21"/>
              </w:rPr>
              <w:t>1</w:t>
            </w:r>
          </w:p>
        </w:tc>
      </w:tr>
      <w:tr>
        <w:tc>
          <w:tcPr>
            <w:tcW w:type="dxa" w:w="7920"/>
          </w:tcPr>
          <w:p>
            <w:pPr>
              <w:spacing w:line="276" w:lineRule="auto" w:after="40"/>
              <w:jc w:val="both"/>
            </w:pPr>
            <w:r>
              <w:rPr>
                <w:rFonts w:ascii="Times New Roman" w:hAnsi="Times New Roman"/>
                <w:b w:val="0"/>
                <w:i w:val="0"/>
                <w:color w:val="000000"/>
                <w:sz w:val="21"/>
              </w:rPr>
              <w:t xml:space="preserve">    1.1 Background of the Study</w:t>
            </w:r>
          </w:p>
        </w:tc>
        <w:tc>
          <w:tcPr>
            <w:tcW w:type="dxa" w:w="1440"/>
          </w:tcPr>
          <w:p>
            <w:pPr>
              <w:spacing w:line="276" w:lineRule="auto" w:after="40"/>
              <w:jc w:val="right"/>
            </w:pPr>
            <w:r>
              <w:rPr>
                <w:rFonts w:ascii="Times New Roman" w:hAnsi="Times New Roman"/>
                <w:b w:val="0"/>
                <w:i w:val="0"/>
                <w:color w:val="000000"/>
                <w:sz w:val="21"/>
              </w:rPr>
              <w:t>1</w:t>
            </w:r>
          </w:p>
        </w:tc>
      </w:tr>
      <w:tr>
        <w:tc>
          <w:tcPr>
            <w:tcW w:type="dxa" w:w="7920"/>
          </w:tcPr>
          <w:p>
            <w:pPr>
              <w:spacing w:line="276" w:lineRule="auto" w:after="40"/>
              <w:jc w:val="both"/>
            </w:pPr>
            <w:r>
              <w:rPr>
                <w:rFonts w:ascii="Times New Roman" w:hAnsi="Times New Roman"/>
                <w:b w:val="0"/>
                <w:i w:val="0"/>
                <w:color w:val="000000"/>
                <w:sz w:val="21"/>
              </w:rPr>
              <w:t xml:space="preserve">    1.2 Problem Statement</w:t>
            </w:r>
          </w:p>
        </w:tc>
        <w:tc>
          <w:tcPr>
            <w:tcW w:type="dxa" w:w="1440"/>
          </w:tcPr>
          <w:p>
            <w:pPr>
              <w:spacing w:line="276" w:lineRule="auto" w:after="40"/>
              <w:jc w:val="right"/>
            </w:pPr>
            <w:r>
              <w:rPr>
                <w:rFonts w:ascii="Times New Roman" w:hAnsi="Times New Roman"/>
                <w:b w:val="0"/>
                <w:i w:val="0"/>
                <w:color w:val="000000"/>
                <w:sz w:val="21"/>
              </w:rPr>
              <w:t>2</w:t>
            </w:r>
          </w:p>
        </w:tc>
      </w:tr>
      <w:tr>
        <w:tc>
          <w:tcPr>
            <w:tcW w:type="dxa" w:w="7920"/>
          </w:tcPr>
          <w:p>
            <w:pPr>
              <w:spacing w:line="276" w:lineRule="auto" w:after="40"/>
              <w:jc w:val="both"/>
            </w:pPr>
            <w:r>
              <w:rPr>
                <w:rFonts w:ascii="Times New Roman" w:hAnsi="Times New Roman"/>
                <w:b w:val="0"/>
                <w:i w:val="0"/>
                <w:color w:val="000000"/>
                <w:sz w:val="21"/>
              </w:rPr>
              <w:t xml:space="preserve">    1.3 Research Motivation and Significance</w:t>
            </w:r>
          </w:p>
        </w:tc>
        <w:tc>
          <w:tcPr>
            <w:tcW w:type="dxa" w:w="1440"/>
          </w:tcPr>
          <w:p>
            <w:pPr>
              <w:spacing w:line="276" w:lineRule="auto" w:after="40"/>
              <w:jc w:val="right"/>
            </w:pPr>
            <w:r>
              <w:rPr>
                <w:rFonts w:ascii="Times New Roman" w:hAnsi="Times New Roman"/>
                <w:b w:val="0"/>
                <w:i w:val="0"/>
                <w:color w:val="000000"/>
                <w:sz w:val="21"/>
              </w:rPr>
              <w:t>3</w:t>
            </w:r>
          </w:p>
        </w:tc>
      </w:tr>
      <w:tr>
        <w:tc>
          <w:tcPr>
            <w:tcW w:type="dxa" w:w="7920"/>
          </w:tcPr>
          <w:p>
            <w:pPr>
              <w:spacing w:line="276" w:lineRule="auto" w:after="40"/>
              <w:jc w:val="both"/>
            </w:pPr>
            <w:r>
              <w:rPr>
                <w:rFonts w:ascii="Times New Roman" w:hAnsi="Times New Roman"/>
                <w:b w:val="0"/>
                <w:i w:val="0"/>
                <w:color w:val="000000"/>
                <w:sz w:val="21"/>
              </w:rPr>
              <w:t xml:space="preserve">    1.4 Research Aim and Objectives</w:t>
            </w:r>
          </w:p>
        </w:tc>
        <w:tc>
          <w:tcPr>
            <w:tcW w:type="dxa" w:w="1440"/>
          </w:tcPr>
          <w:p>
            <w:pPr>
              <w:spacing w:line="276" w:lineRule="auto" w:after="40"/>
              <w:jc w:val="right"/>
            </w:pPr>
            <w:r>
              <w:rPr>
                <w:rFonts w:ascii="Times New Roman" w:hAnsi="Times New Roman"/>
                <w:b w:val="0"/>
                <w:i w:val="0"/>
                <w:color w:val="000000"/>
                <w:sz w:val="21"/>
              </w:rPr>
              <w:t>4</w:t>
            </w:r>
          </w:p>
        </w:tc>
      </w:tr>
      <w:tr>
        <w:tc>
          <w:tcPr>
            <w:tcW w:type="dxa" w:w="7920"/>
          </w:tcPr>
          <w:p>
            <w:pPr>
              <w:spacing w:line="276" w:lineRule="auto" w:after="40"/>
              <w:jc w:val="both"/>
            </w:pPr>
            <w:r>
              <w:rPr>
                <w:rFonts w:ascii="Times New Roman" w:hAnsi="Times New Roman"/>
                <w:b w:val="0"/>
                <w:i w:val="0"/>
                <w:color w:val="000000"/>
                <w:sz w:val="21"/>
              </w:rPr>
              <w:t xml:space="preserve">    1.5 Research Questions and Hypotheses</w:t>
            </w:r>
          </w:p>
        </w:tc>
        <w:tc>
          <w:tcPr>
            <w:tcW w:type="dxa" w:w="1440"/>
          </w:tcPr>
          <w:p>
            <w:pPr>
              <w:spacing w:line="276" w:lineRule="auto" w:after="40"/>
              <w:jc w:val="right"/>
            </w:pPr>
            <w:r>
              <w:rPr>
                <w:rFonts w:ascii="Times New Roman" w:hAnsi="Times New Roman"/>
                <w:b w:val="0"/>
                <w:i w:val="0"/>
                <w:color w:val="000000"/>
                <w:sz w:val="21"/>
              </w:rPr>
              <w:t>4</w:t>
            </w:r>
          </w:p>
        </w:tc>
      </w:tr>
      <w:tr>
        <w:tc>
          <w:tcPr>
            <w:tcW w:type="dxa" w:w="7920"/>
          </w:tcPr>
          <w:p>
            <w:pPr>
              <w:spacing w:line="276" w:lineRule="auto" w:after="40"/>
              <w:jc w:val="both"/>
            </w:pPr>
            <w:r>
              <w:rPr>
                <w:rFonts w:ascii="Times New Roman" w:hAnsi="Times New Roman"/>
                <w:b w:val="0"/>
                <w:i w:val="0"/>
                <w:color w:val="000000"/>
                <w:sz w:val="21"/>
              </w:rPr>
              <w:t xml:space="preserve">    1.6 Scope of the Study</w:t>
            </w:r>
          </w:p>
        </w:tc>
        <w:tc>
          <w:tcPr>
            <w:tcW w:type="dxa" w:w="1440"/>
          </w:tcPr>
          <w:p>
            <w:pPr>
              <w:spacing w:line="276" w:lineRule="auto" w:after="40"/>
              <w:jc w:val="right"/>
            </w:pPr>
            <w:r>
              <w:rPr>
                <w:rFonts w:ascii="Times New Roman" w:hAnsi="Times New Roman"/>
                <w:b w:val="0"/>
                <w:i w:val="0"/>
                <w:color w:val="000000"/>
                <w:sz w:val="21"/>
              </w:rPr>
              <w:t>5</w:t>
            </w:r>
          </w:p>
        </w:tc>
      </w:tr>
      <w:tr>
        <w:tc>
          <w:tcPr>
            <w:tcW w:type="dxa" w:w="7920"/>
          </w:tcPr>
          <w:p>
            <w:pPr>
              <w:spacing w:line="276" w:lineRule="auto" w:after="40"/>
              <w:jc w:val="both"/>
            </w:pPr>
            <w:r>
              <w:rPr>
                <w:rFonts w:ascii="Times New Roman" w:hAnsi="Times New Roman"/>
                <w:b w:val="0"/>
                <w:i w:val="0"/>
                <w:color w:val="000000"/>
                <w:sz w:val="21"/>
              </w:rPr>
              <w:t xml:space="preserve">    1.7 Organization of the Report</w:t>
            </w:r>
          </w:p>
        </w:tc>
        <w:tc>
          <w:tcPr>
            <w:tcW w:type="dxa" w:w="1440"/>
          </w:tcPr>
          <w:p>
            <w:pPr>
              <w:spacing w:line="276" w:lineRule="auto" w:after="40"/>
              <w:jc w:val="right"/>
            </w:pPr>
            <w:r>
              <w:rPr>
                <w:rFonts w:ascii="Times New Roman" w:hAnsi="Times New Roman"/>
                <w:b w:val="0"/>
                <w:i w:val="0"/>
                <w:color w:val="000000"/>
                <w:sz w:val="21"/>
              </w:rPr>
              <w:t>6</w:t>
            </w:r>
          </w:p>
        </w:tc>
      </w:tr>
      <w:tr>
        <w:tc>
          <w:tcPr>
            <w:tcW w:type="dxa" w:w="7920"/>
          </w:tcPr>
          <w:p>
            <w:pPr>
              <w:spacing w:line="276" w:lineRule="auto" w:after="40"/>
              <w:jc w:val="both"/>
            </w:pPr>
            <w:r>
              <w:rPr>
                <w:rFonts w:ascii="Times New Roman" w:hAnsi="Times New Roman"/>
                <w:b/>
                <w:i w:val="0"/>
                <w:color w:val="000000"/>
                <w:sz w:val="21"/>
              </w:rPr>
              <w:t>Chapter 2: Literature Review</w:t>
            </w:r>
          </w:p>
        </w:tc>
        <w:tc>
          <w:tcPr>
            <w:tcW w:type="dxa" w:w="1440"/>
          </w:tcPr>
          <w:p>
            <w:pPr>
              <w:spacing w:line="276" w:lineRule="auto" w:after="40"/>
              <w:jc w:val="right"/>
            </w:pPr>
            <w:r>
              <w:rPr>
                <w:rFonts w:ascii="Times New Roman" w:hAnsi="Times New Roman"/>
                <w:b/>
                <w:i w:val="0"/>
                <w:color w:val="000000"/>
                <w:sz w:val="21"/>
              </w:rPr>
              <w:t>7</w:t>
            </w:r>
          </w:p>
        </w:tc>
      </w:tr>
      <w:tr>
        <w:tc>
          <w:tcPr>
            <w:tcW w:type="dxa" w:w="7920"/>
          </w:tcPr>
          <w:p>
            <w:pPr>
              <w:spacing w:line="276" w:lineRule="auto" w:after="40"/>
              <w:jc w:val="both"/>
            </w:pPr>
            <w:r>
              <w:rPr>
                <w:rFonts w:ascii="Times New Roman" w:hAnsi="Times New Roman"/>
                <w:b w:val="0"/>
                <w:i w:val="0"/>
                <w:color w:val="000000"/>
                <w:sz w:val="21"/>
              </w:rPr>
              <w:t xml:space="preserve">    2.1 Introduction</w:t>
            </w:r>
          </w:p>
        </w:tc>
        <w:tc>
          <w:tcPr>
            <w:tcW w:type="dxa" w:w="1440"/>
          </w:tcPr>
          <w:p>
            <w:pPr>
              <w:spacing w:line="276" w:lineRule="auto" w:after="40"/>
              <w:jc w:val="right"/>
            </w:pPr>
            <w:r>
              <w:rPr>
                <w:rFonts w:ascii="Times New Roman" w:hAnsi="Times New Roman"/>
                <w:b w:val="0"/>
                <w:i w:val="0"/>
                <w:color w:val="000000"/>
                <w:sz w:val="21"/>
              </w:rPr>
              <w:t>7</w:t>
            </w:r>
          </w:p>
        </w:tc>
      </w:tr>
      <w:tr>
        <w:tc>
          <w:tcPr>
            <w:tcW w:type="dxa" w:w="7920"/>
          </w:tcPr>
          <w:p>
            <w:pPr>
              <w:spacing w:line="276" w:lineRule="auto" w:after="40"/>
              <w:jc w:val="both"/>
            </w:pPr>
            <w:r>
              <w:rPr>
                <w:rFonts w:ascii="Times New Roman" w:hAnsi="Times New Roman"/>
                <w:b w:val="0"/>
                <w:i w:val="0"/>
                <w:color w:val="000000"/>
                <w:sz w:val="21"/>
              </w:rPr>
              <w:t xml:space="preserve">    2.2 Review of Existing Studies</w:t>
            </w:r>
          </w:p>
        </w:tc>
        <w:tc>
          <w:tcPr>
            <w:tcW w:type="dxa" w:w="1440"/>
          </w:tcPr>
          <w:p>
            <w:pPr>
              <w:spacing w:line="276" w:lineRule="auto" w:after="40"/>
              <w:jc w:val="right"/>
            </w:pPr>
            <w:r>
              <w:rPr>
                <w:rFonts w:ascii="Times New Roman" w:hAnsi="Times New Roman"/>
                <w:b w:val="0"/>
                <w:i w:val="0"/>
                <w:color w:val="000000"/>
                <w:sz w:val="21"/>
              </w:rPr>
              <w:t>7</w:t>
            </w:r>
          </w:p>
        </w:tc>
      </w:tr>
      <w:tr>
        <w:tc>
          <w:tcPr>
            <w:tcW w:type="dxa" w:w="7920"/>
          </w:tcPr>
          <w:p>
            <w:pPr>
              <w:spacing w:line="276" w:lineRule="auto" w:after="40"/>
              <w:jc w:val="both"/>
            </w:pPr>
            <w:r>
              <w:rPr>
                <w:rFonts w:ascii="Times New Roman" w:hAnsi="Times New Roman"/>
                <w:b w:val="0"/>
                <w:i w:val="0"/>
                <w:color w:val="000000"/>
                <w:sz w:val="21"/>
              </w:rPr>
              <w:t xml:space="preserve">    2.3 Comparison of Existing Methods</w:t>
            </w:r>
          </w:p>
        </w:tc>
        <w:tc>
          <w:tcPr>
            <w:tcW w:type="dxa" w:w="1440"/>
          </w:tcPr>
          <w:p>
            <w:pPr>
              <w:spacing w:line="276" w:lineRule="auto" w:after="40"/>
              <w:jc w:val="right"/>
            </w:pPr>
            <w:r>
              <w:rPr>
                <w:rFonts w:ascii="Times New Roman" w:hAnsi="Times New Roman"/>
                <w:b w:val="0"/>
                <w:i w:val="0"/>
                <w:color w:val="000000"/>
                <w:sz w:val="21"/>
              </w:rPr>
              <w:t>9</w:t>
            </w:r>
          </w:p>
        </w:tc>
      </w:tr>
      <w:tr>
        <w:tc>
          <w:tcPr>
            <w:tcW w:type="dxa" w:w="7920"/>
          </w:tcPr>
          <w:p>
            <w:pPr>
              <w:spacing w:line="276" w:lineRule="auto" w:after="40"/>
              <w:jc w:val="both"/>
            </w:pPr>
            <w:r>
              <w:rPr>
                <w:rFonts w:ascii="Times New Roman" w:hAnsi="Times New Roman"/>
                <w:b w:val="0"/>
                <w:i w:val="0"/>
                <w:color w:val="000000"/>
                <w:sz w:val="21"/>
              </w:rPr>
              <w:t xml:space="preserve">    2.4 Identified Research Gaps</w:t>
            </w:r>
          </w:p>
        </w:tc>
        <w:tc>
          <w:tcPr>
            <w:tcW w:type="dxa" w:w="1440"/>
          </w:tcPr>
          <w:p>
            <w:pPr>
              <w:spacing w:line="276" w:lineRule="auto" w:after="40"/>
              <w:jc w:val="right"/>
            </w:pPr>
            <w:r>
              <w:rPr>
                <w:rFonts w:ascii="Times New Roman" w:hAnsi="Times New Roman"/>
                <w:b w:val="0"/>
                <w:i w:val="0"/>
                <w:color w:val="000000"/>
                <w:sz w:val="21"/>
              </w:rPr>
              <w:t>10</w:t>
            </w:r>
          </w:p>
        </w:tc>
      </w:tr>
      <w:tr>
        <w:tc>
          <w:tcPr>
            <w:tcW w:type="dxa" w:w="7920"/>
          </w:tcPr>
          <w:p>
            <w:pPr>
              <w:spacing w:line="276" w:lineRule="auto" w:after="40"/>
              <w:jc w:val="both"/>
            </w:pPr>
            <w:r>
              <w:rPr>
                <w:rFonts w:ascii="Times New Roman" w:hAnsi="Times New Roman"/>
                <w:b w:val="0"/>
                <w:i w:val="0"/>
                <w:color w:val="000000"/>
                <w:sz w:val="21"/>
              </w:rPr>
              <w:t xml:space="preserve">    2.5 Chapter Summary</w:t>
            </w:r>
          </w:p>
        </w:tc>
        <w:tc>
          <w:tcPr>
            <w:tcW w:type="dxa" w:w="1440"/>
          </w:tcPr>
          <w:p>
            <w:pPr>
              <w:spacing w:line="276" w:lineRule="auto" w:after="40"/>
              <w:jc w:val="right"/>
            </w:pPr>
            <w:r>
              <w:rPr>
                <w:rFonts w:ascii="Times New Roman" w:hAnsi="Times New Roman"/>
                <w:b w:val="0"/>
                <w:i w:val="0"/>
                <w:color w:val="000000"/>
                <w:sz w:val="21"/>
              </w:rPr>
              <w:t>11</w:t>
            </w:r>
          </w:p>
        </w:tc>
      </w:tr>
      <w:tr>
        <w:tc>
          <w:tcPr>
            <w:tcW w:type="dxa" w:w="7920"/>
          </w:tcPr>
          <w:p>
            <w:pPr>
              <w:spacing w:line="276" w:lineRule="auto" w:after="40"/>
              <w:jc w:val="both"/>
            </w:pPr>
            <w:r>
              <w:rPr>
                <w:rFonts w:ascii="Times New Roman" w:hAnsi="Times New Roman"/>
                <w:b/>
                <w:i w:val="0"/>
                <w:color w:val="000000"/>
                <w:sz w:val="21"/>
              </w:rPr>
              <w:t>Chapter 3: Research Methodology</w:t>
            </w:r>
          </w:p>
        </w:tc>
        <w:tc>
          <w:tcPr>
            <w:tcW w:type="dxa" w:w="1440"/>
          </w:tcPr>
          <w:p>
            <w:pPr>
              <w:spacing w:line="276" w:lineRule="auto" w:after="40"/>
              <w:jc w:val="right"/>
            </w:pPr>
            <w:r>
              <w:rPr>
                <w:rFonts w:ascii="Times New Roman" w:hAnsi="Times New Roman"/>
                <w:b/>
                <w:i w:val="0"/>
                <w:color w:val="000000"/>
                <w:sz w:val="21"/>
              </w:rPr>
              <w:t>12</w:t>
            </w:r>
          </w:p>
        </w:tc>
      </w:tr>
      <w:tr>
        <w:tc>
          <w:tcPr>
            <w:tcW w:type="dxa" w:w="7920"/>
          </w:tcPr>
          <w:p>
            <w:pPr>
              <w:spacing w:line="276" w:lineRule="auto" w:after="40"/>
              <w:jc w:val="both"/>
            </w:pPr>
            <w:r>
              <w:rPr>
                <w:rFonts w:ascii="Times New Roman" w:hAnsi="Times New Roman"/>
                <w:b w:val="0"/>
                <w:i w:val="0"/>
                <w:color w:val="000000"/>
                <w:sz w:val="21"/>
              </w:rPr>
              <w:t xml:space="preserve">    3.1 Research Design</w:t>
            </w:r>
          </w:p>
        </w:tc>
        <w:tc>
          <w:tcPr>
            <w:tcW w:type="dxa" w:w="1440"/>
          </w:tcPr>
          <w:p>
            <w:pPr>
              <w:spacing w:line="276" w:lineRule="auto" w:after="40"/>
              <w:jc w:val="right"/>
            </w:pPr>
            <w:r>
              <w:rPr>
                <w:rFonts w:ascii="Times New Roman" w:hAnsi="Times New Roman"/>
                <w:b w:val="0"/>
                <w:i w:val="0"/>
                <w:color w:val="000000"/>
                <w:sz w:val="21"/>
              </w:rPr>
              <w:t>12</w:t>
            </w:r>
          </w:p>
        </w:tc>
      </w:tr>
      <w:tr>
        <w:tc>
          <w:tcPr>
            <w:tcW w:type="dxa" w:w="7920"/>
          </w:tcPr>
          <w:p>
            <w:pPr>
              <w:spacing w:line="276" w:lineRule="auto" w:after="40"/>
              <w:jc w:val="both"/>
            </w:pPr>
            <w:r>
              <w:rPr>
                <w:rFonts w:ascii="Times New Roman" w:hAnsi="Times New Roman"/>
                <w:b w:val="0"/>
                <w:i w:val="0"/>
                <w:color w:val="000000"/>
                <w:sz w:val="21"/>
              </w:rPr>
              <w:t xml:space="preserve">    3.2 Dataset and Data Sources</w:t>
            </w:r>
          </w:p>
        </w:tc>
        <w:tc>
          <w:tcPr>
            <w:tcW w:type="dxa" w:w="1440"/>
          </w:tcPr>
          <w:p>
            <w:pPr>
              <w:spacing w:line="276" w:lineRule="auto" w:after="40"/>
              <w:jc w:val="right"/>
            </w:pPr>
            <w:r>
              <w:rPr>
                <w:rFonts w:ascii="Times New Roman" w:hAnsi="Times New Roman"/>
                <w:b w:val="0"/>
                <w:i w:val="0"/>
                <w:color w:val="000000"/>
                <w:sz w:val="21"/>
              </w:rPr>
              <w:t>13</w:t>
            </w:r>
          </w:p>
        </w:tc>
      </w:tr>
      <w:tr>
        <w:tc>
          <w:tcPr>
            <w:tcW w:type="dxa" w:w="7920"/>
          </w:tcPr>
          <w:p>
            <w:pPr>
              <w:spacing w:line="276" w:lineRule="auto" w:after="40"/>
              <w:jc w:val="both"/>
            </w:pPr>
            <w:r>
              <w:rPr>
                <w:rFonts w:ascii="Times New Roman" w:hAnsi="Times New Roman"/>
                <w:b w:val="0"/>
                <w:i w:val="0"/>
                <w:color w:val="000000"/>
                <w:sz w:val="21"/>
              </w:rPr>
              <w:t xml:space="preserve">    3.3 Data Collection and Preprocessing</w:t>
            </w:r>
          </w:p>
        </w:tc>
        <w:tc>
          <w:tcPr>
            <w:tcW w:type="dxa" w:w="1440"/>
          </w:tcPr>
          <w:p>
            <w:pPr>
              <w:spacing w:line="276" w:lineRule="auto" w:after="40"/>
              <w:jc w:val="right"/>
            </w:pPr>
            <w:r>
              <w:rPr>
                <w:rFonts w:ascii="Times New Roman" w:hAnsi="Times New Roman"/>
                <w:b w:val="0"/>
                <w:i w:val="0"/>
                <w:color w:val="000000"/>
                <w:sz w:val="21"/>
              </w:rPr>
              <w:t>14</w:t>
            </w:r>
          </w:p>
        </w:tc>
      </w:tr>
      <w:tr>
        <w:tc>
          <w:tcPr>
            <w:tcW w:type="dxa" w:w="7920"/>
          </w:tcPr>
          <w:p>
            <w:pPr>
              <w:spacing w:line="276" w:lineRule="auto" w:after="40"/>
              <w:jc w:val="both"/>
            </w:pPr>
            <w:r>
              <w:rPr>
                <w:rFonts w:ascii="Times New Roman" w:hAnsi="Times New Roman"/>
                <w:b w:val="0"/>
                <w:i w:val="0"/>
                <w:color w:val="000000"/>
                <w:sz w:val="21"/>
              </w:rPr>
              <w:t xml:space="preserve">    3.4 Proposed Methods and Mathematical Formulations</w:t>
            </w:r>
          </w:p>
        </w:tc>
        <w:tc>
          <w:tcPr>
            <w:tcW w:type="dxa" w:w="1440"/>
          </w:tcPr>
          <w:p>
            <w:pPr>
              <w:spacing w:line="276" w:lineRule="auto" w:after="40"/>
              <w:jc w:val="right"/>
            </w:pPr>
            <w:r>
              <w:rPr>
                <w:rFonts w:ascii="Times New Roman" w:hAnsi="Times New Roman"/>
                <w:b w:val="0"/>
                <w:i w:val="0"/>
                <w:color w:val="000000"/>
                <w:sz w:val="21"/>
              </w:rPr>
              <w:t>16</w:t>
            </w:r>
          </w:p>
        </w:tc>
      </w:tr>
      <w:tr>
        <w:tc>
          <w:tcPr>
            <w:tcW w:type="dxa" w:w="7920"/>
          </w:tcPr>
          <w:p>
            <w:pPr>
              <w:spacing w:line="276" w:lineRule="auto" w:after="40"/>
              <w:jc w:val="both"/>
            </w:pPr>
            <w:r>
              <w:rPr>
                <w:rFonts w:ascii="Times New Roman" w:hAnsi="Times New Roman"/>
                <w:b w:val="0"/>
                <w:i w:val="0"/>
                <w:color w:val="000000"/>
                <w:sz w:val="21"/>
              </w:rPr>
              <w:t xml:space="preserve">    3.5 Tools, Software, and Experimental Setup</w:t>
            </w:r>
          </w:p>
        </w:tc>
        <w:tc>
          <w:tcPr>
            <w:tcW w:type="dxa" w:w="1440"/>
          </w:tcPr>
          <w:p>
            <w:pPr>
              <w:spacing w:line="276" w:lineRule="auto" w:after="40"/>
              <w:jc w:val="right"/>
            </w:pPr>
            <w:r>
              <w:rPr>
                <w:rFonts w:ascii="Times New Roman" w:hAnsi="Times New Roman"/>
                <w:b w:val="0"/>
                <w:i w:val="0"/>
                <w:color w:val="000000"/>
                <w:sz w:val="21"/>
              </w:rPr>
              <w:t>19</w:t>
            </w:r>
          </w:p>
        </w:tc>
      </w:tr>
      <w:tr>
        <w:tc>
          <w:tcPr>
            <w:tcW w:type="dxa" w:w="7920"/>
          </w:tcPr>
          <w:p>
            <w:pPr>
              <w:spacing w:line="276" w:lineRule="auto" w:after="40"/>
              <w:jc w:val="both"/>
            </w:pPr>
            <w:r>
              <w:rPr>
                <w:rFonts w:ascii="Times New Roman" w:hAnsi="Times New Roman"/>
                <w:b w:val="0"/>
                <w:i w:val="0"/>
                <w:color w:val="000000"/>
                <w:sz w:val="21"/>
              </w:rPr>
              <w:t xml:space="preserve">    3.6 Evaluation Metrics</w:t>
            </w:r>
          </w:p>
        </w:tc>
        <w:tc>
          <w:tcPr>
            <w:tcW w:type="dxa" w:w="1440"/>
          </w:tcPr>
          <w:p>
            <w:pPr>
              <w:spacing w:line="276" w:lineRule="auto" w:after="40"/>
              <w:jc w:val="right"/>
            </w:pPr>
            <w:r>
              <w:rPr>
                <w:rFonts w:ascii="Times New Roman" w:hAnsi="Times New Roman"/>
                <w:b w:val="0"/>
                <w:i w:val="0"/>
                <w:color w:val="000000"/>
                <w:sz w:val="21"/>
              </w:rPr>
              <w:t>20</w:t>
            </w:r>
          </w:p>
        </w:tc>
      </w:tr>
      <w:tr>
        <w:tc>
          <w:tcPr>
            <w:tcW w:type="dxa" w:w="7920"/>
          </w:tcPr>
          <w:p>
            <w:pPr>
              <w:spacing w:line="276" w:lineRule="auto" w:after="40"/>
              <w:jc w:val="both"/>
            </w:pPr>
            <w:r>
              <w:rPr>
                <w:rFonts w:ascii="Times New Roman" w:hAnsi="Times New Roman"/>
                <w:b w:val="0"/>
                <w:i w:val="0"/>
                <w:color w:val="000000"/>
                <w:sz w:val="21"/>
              </w:rPr>
              <w:t xml:space="preserve">    3.7 Ethical Considerations</w:t>
            </w:r>
          </w:p>
        </w:tc>
        <w:tc>
          <w:tcPr>
            <w:tcW w:type="dxa" w:w="1440"/>
          </w:tcPr>
          <w:p>
            <w:pPr>
              <w:spacing w:line="276" w:lineRule="auto" w:after="40"/>
              <w:jc w:val="right"/>
            </w:pPr>
            <w:r>
              <w:rPr>
                <w:rFonts w:ascii="Times New Roman" w:hAnsi="Times New Roman"/>
                <w:b w:val="0"/>
                <w:i w:val="0"/>
                <w:color w:val="000000"/>
                <w:sz w:val="21"/>
              </w:rPr>
              <w:t>21</w:t>
            </w:r>
          </w:p>
        </w:tc>
      </w:tr>
      <w:tr>
        <w:tc>
          <w:tcPr>
            <w:tcW w:type="dxa" w:w="7920"/>
          </w:tcPr>
          <w:p>
            <w:pPr>
              <w:spacing w:line="276" w:lineRule="auto" w:after="40"/>
              <w:jc w:val="both"/>
            </w:pPr>
            <w:r>
              <w:rPr>
                <w:rFonts w:ascii="Times New Roman" w:hAnsi="Times New Roman"/>
                <w:b/>
                <w:i w:val="0"/>
                <w:color w:val="000000"/>
                <w:sz w:val="21"/>
              </w:rPr>
              <w:t>Chapter 4: System Design and Implementation</w:t>
            </w:r>
          </w:p>
        </w:tc>
        <w:tc>
          <w:tcPr>
            <w:tcW w:type="dxa" w:w="1440"/>
          </w:tcPr>
          <w:p>
            <w:pPr>
              <w:spacing w:line="276" w:lineRule="auto" w:after="40"/>
              <w:jc w:val="right"/>
            </w:pPr>
            <w:r>
              <w:rPr>
                <w:rFonts w:ascii="Times New Roman" w:hAnsi="Times New Roman"/>
                <w:b/>
                <w:i w:val="0"/>
                <w:color w:val="000000"/>
                <w:sz w:val="21"/>
              </w:rPr>
              <w:t>22</w:t>
            </w:r>
          </w:p>
        </w:tc>
      </w:tr>
      <w:tr>
        <w:tc>
          <w:tcPr>
            <w:tcW w:type="dxa" w:w="7920"/>
          </w:tcPr>
          <w:p>
            <w:pPr>
              <w:spacing w:line="276" w:lineRule="auto" w:after="40"/>
              <w:jc w:val="both"/>
            </w:pPr>
            <w:r>
              <w:rPr>
                <w:rFonts w:ascii="Times New Roman" w:hAnsi="Times New Roman"/>
                <w:b w:val="0"/>
                <w:i w:val="0"/>
                <w:color w:val="000000"/>
                <w:sz w:val="21"/>
              </w:rPr>
              <w:t xml:space="preserve">    4.1 System Architecture and Proposed Framework</w:t>
            </w:r>
          </w:p>
        </w:tc>
        <w:tc>
          <w:tcPr>
            <w:tcW w:type="dxa" w:w="1440"/>
          </w:tcPr>
          <w:p>
            <w:pPr>
              <w:spacing w:line="276" w:lineRule="auto" w:after="40"/>
              <w:jc w:val="right"/>
            </w:pPr>
            <w:r>
              <w:rPr>
                <w:rFonts w:ascii="Times New Roman" w:hAnsi="Times New Roman"/>
                <w:b w:val="0"/>
                <w:i w:val="0"/>
                <w:color w:val="000000"/>
                <w:sz w:val="21"/>
              </w:rPr>
              <w:t>22</w:t>
            </w:r>
          </w:p>
        </w:tc>
      </w:tr>
      <w:tr>
        <w:tc>
          <w:tcPr>
            <w:tcW w:type="dxa" w:w="7920"/>
          </w:tcPr>
          <w:p>
            <w:pPr>
              <w:spacing w:line="276" w:lineRule="auto" w:after="40"/>
              <w:jc w:val="both"/>
            </w:pPr>
            <w:r>
              <w:rPr>
                <w:rFonts w:ascii="Times New Roman" w:hAnsi="Times New Roman"/>
                <w:b w:val="0"/>
                <w:i w:val="0"/>
                <w:color w:val="000000"/>
                <w:sz w:val="21"/>
              </w:rPr>
              <w:t xml:space="preserve">    4.2 Workflow and Process Pipeline</w:t>
            </w:r>
          </w:p>
        </w:tc>
        <w:tc>
          <w:tcPr>
            <w:tcW w:type="dxa" w:w="1440"/>
          </w:tcPr>
          <w:p>
            <w:pPr>
              <w:spacing w:line="276" w:lineRule="auto" w:after="40"/>
              <w:jc w:val="right"/>
            </w:pPr>
            <w:r>
              <w:rPr>
                <w:rFonts w:ascii="Times New Roman" w:hAnsi="Times New Roman"/>
                <w:b w:val="0"/>
                <w:i w:val="0"/>
                <w:color w:val="000000"/>
                <w:sz w:val="21"/>
              </w:rPr>
              <w:t>23</w:t>
            </w:r>
          </w:p>
        </w:tc>
      </w:tr>
      <w:tr>
        <w:tc>
          <w:tcPr>
            <w:tcW w:type="dxa" w:w="7920"/>
          </w:tcPr>
          <w:p>
            <w:pPr>
              <w:spacing w:line="276" w:lineRule="auto" w:after="40"/>
              <w:jc w:val="both"/>
            </w:pPr>
            <w:r>
              <w:rPr>
                <w:rFonts w:ascii="Times New Roman" w:hAnsi="Times New Roman"/>
                <w:b w:val="0"/>
                <w:i w:val="0"/>
                <w:color w:val="000000"/>
                <w:sz w:val="21"/>
              </w:rPr>
              <w:t xml:space="preserve">    4.3 Model and System Design</w:t>
            </w:r>
          </w:p>
        </w:tc>
        <w:tc>
          <w:tcPr>
            <w:tcW w:type="dxa" w:w="1440"/>
          </w:tcPr>
          <w:p>
            <w:pPr>
              <w:spacing w:line="276" w:lineRule="auto" w:after="40"/>
              <w:jc w:val="right"/>
            </w:pPr>
            <w:r>
              <w:rPr>
                <w:rFonts w:ascii="Times New Roman" w:hAnsi="Times New Roman"/>
                <w:b w:val="0"/>
                <w:i w:val="0"/>
                <w:color w:val="000000"/>
                <w:sz w:val="21"/>
              </w:rPr>
              <w:t>24</w:t>
            </w:r>
          </w:p>
        </w:tc>
      </w:tr>
      <w:tr>
        <w:tc>
          <w:tcPr>
            <w:tcW w:type="dxa" w:w="7920"/>
          </w:tcPr>
          <w:p>
            <w:pPr>
              <w:spacing w:line="276" w:lineRule="auto" w:after="40"/>
              <w:jc w:val="both"/>
            </w:pPr>
            <w:r>
              <w:rPr>
                <w:rFonts w:ascii="Times New Roman" w:hAnsi="Times New Roman"/>
                <w:b w:val="0"/>
                <w:i w:val="0"/>
                <w:color w:val="000000"/>
                <w:sz w:val="21"/>
              </w:rPr>
              <w:t xml:space="preserve">    4.4 Implementation Details and Training Protocol</w:t>
            </w:r>
          </w:p>
        </w:tc>
        <w:tc>
          <w:tcPr>
            <w:tcW w:type="dxa" w:w="1440"/>
          </w:tcPr>
          <w:p>
            <w:pPr>
              <w:spacing w:line="276" w:lineRule="auto" w:after="40"/>
              <w:jc w:val="right"/>
            </w:pPr>
            <w:r>
              <w:rPr>
                <w:rFonts w:ascii="Times New Roman" w:hAnsi="Times New Roman"/>
                <w:b w:val="0"/>
                <w:i w:val="0"/>
                <w:color w:val="000000"/>
                <w:sz w:val="21"/>
              </w:rPr>
              <w:t>25</w:t>
            </w:r>
          </w:p>
        </w:tc>
      </w:tr>
      <w:tr>
        <w:tc>
          <w:tcPr>
            <w:tcW w:type="dxa" w:w="7920"/>
          </w:tcPr>
          <w:p>
            <w:pPr>
              <w:spacing w:line="276" w:lineRule="auto" w:after="40"/>
              <w:jc w:val="both"/>
            </w:pPr>
            <w:r>
              <w:rPr>
                <w:rFonts w:ascii="Times New Roman" w:hAnsi="Times New Roman"/>
                <w:b w:val="0"/>
                <w:i w:val="0"/>
                <w:color w:val="000000"/>
                <w:sz w:val="21"/>
              </w:rPr>
              <w:t xml:space="preserve">    4.5 Computational Requirements and Latency</w:t>
            </w:r>
          </w:p>
        </w:tc>
        <w:tc>
          <w:tcPr>
            <w:tcW w:type="dxa" w:w="1440"/>
          </w:tcPr>
          <w:p>
            <w:pPr>
              <w:spacing w:line="276" w:lineRule="auto" w:after="40"/>
              <w:jc w:val="right"/>
            </w:pPr>
            <w:r>
              <w:rPr>
                <w:rFonts w:ascii="Times New Roman" w:hAnsi="Times New Roman"/>
                <w:b w:val="0"/>
                <w:i w:val="0"/>
                <w:color w:val="000000"/>
                <w:sz w:val="21"/>
              </w:rPr>
              <w:t>26</w:t>
            </w:r>
          </w:p>
        </w:tc>
      </w:tr>
      <w:tr>
        <w:tc>
          <w:tcPr>
            <w:tcW w:type="dxa" w:w="7920"/>
          </w:tcPr>
          <w:p>
            <w:pPr>
              <w:spacing w:line="276" w:lineRule="auto" w:after="40"/>
              <w:jc w:val="both"/>
            </w:pPr>
            <w:r>
              <w:rPr>
                <w:rFonts w:ascii="Times New Roman" w:hAnsi="Times New Roman"/>
                <w:b/>
                <w:i w:val="0"/>
                <w:color w:val="000000"/>
                <w:sz w:val="21"/>
              </w:rPr>
              <w:t>Chapter 5: Results and Discussion</w:t>
            </w:r>
          </w:p>
        </w:tc>
        <w:tc>
          <w:tcPr>
            <w:tcW w:type="dxa" w:w="1440"/>
          </w:tcPr>
          <w:p>
            <w:pPr>
              <w:spacing w:line="276" w:lineRule="auto" w:after="40"/>
              <w:jc w:val="right"/>
            </w:pPr>
            <w:r>
              <w:rPr>
                <w:rFonts w:ascii="Times New Roman" w:hAnsi="Times New Roman"/>
                <w:b/>
                <w:i w:val="0"/>
                <w:color w:val="000000"/>
                <w:sz w:val="21"/>
              </w:rPr>
              <w:t>27</w:t>
            </w:r>
          </w:p>
        </w:tc>
      </w:tr>
      <w:tr>
        <w:tc>
          <w:tcPr>
            <w:tcW w:type="dxa" w:w="7920"/>
          </w:tcPr>
          <w:p>
            <w:pPr>
              <w:spacing w:line="276" w:lineRule="auto" w:after="40"/>
              <w:jc w:val="both"/>
            </w:pPr>
            <w:r>
              <w:rPr>
                <w:rFonts w:ascii="Times New Roman" w:hAnsi="Times New Roman"/>
                <w:b w:val="0"/>
                <w:i w:val="0"/>
                <w:color w:val="000000"/>
                <w:sz w:val="21"/>
              </w:rPr>
              <w:t xml:space="preserve">    5.1 Experimental Results Leaderboard</w:t>
            </w:r>
          </w:p>
        </w:tc>
        <w:tc>
          <w:tcPr>
            <w:tcW w:type="dxa" w:w="1440"/>
          </w:tcPr>
          <w:p>
            <w:pPr>
              <w:spacing w:line="276" w:lineRule="auto" w:after="40"/>
              <w:jc w:val="right"/>
            </w:pPr>
            <w:r>
              <w:rPr>
                <w:rFonts w:ascii="Times New Roman" w:hAnsi="Times New Roman"/>
                <w:b w:val="0"/>
                <w:i w:val="0"/>
                <w:color w:val="000000"/>
                <w:sz w:val="21"/>
              </w:rPr>
              <w:t>27</w:t>
            </w:r>
          </w:p>
        </w:tc>
      </w:tr>
      <w:tr>
        <w:tc>
          <w:tcPr>
            <w:tcW w:type="dxa" w:w="7920"/>
          </w:tcPr>
          <w:p>
            <w:pPr>
              <w:spacing w:line="276" w:lineRule="auto" w:after="40"/>
              <w:jc w:val="both"/>
            </w:pPr>
            <w:r>
              <w:rPr>
                <w:rFonts w:ascii="Times New Roman" w:hAnsi="Times New Roman"/>
                <w:b w:val="0"/>
                <w:i w:val="0"/>
                <w:color w:val="000000"/>
                <w:sz w:val="21"/>
              </w:rPr>
              <w:t xml:space="preserve">    5.2 Quantitative and Qualitative Evaluation</w:t>
            </w:r>
          </w:p>
        </w:tc>
        <w:tc>
          <w:tcPr>
            <w:tcW w:type="dxa" w:w="1440"/>
          </w:tcPr>
          <w:p>
            <w:pPr>
              <w:spacing w:line="276" w:lineRule="auto" w:after="40"/>
              <w:jc w:val="right"/>
            </w:pPr>
            <w:r>
              <w:rPr>
                <w:rFonts w:ascii="Times New Roman" w:hAnsi="Times New Roman"/>
                <w:b w:val="0"/>
                <w:i w:val="0"/>
                <w:color w:val="000000"/>
                <w:sz w:val="21"/>
              </w:rPr>
              <w:t>29</w:t>
            </w:r>
          </w:p>
        </w:tc>
      </w:tr>
      <w:tr>
        <w:tc>
          <w:tcPr>
            <w:tcW w:type="dxa" w:w="7920"/>
          </w:tcPr>
          <w:p>
            <w:pPr>
              <w:spacing w:line="276" w:lineRule="auto" w:after="40"/>
              <w:jc w:val="both"/>
            </w:pPr>
            <w:r>
              <w:rPr>
                <w:rFonts w:ascii="Times New Roman" w:hAnsi="Times New Roman"/>
                <w:b w:val="0"/>
                <w:i w:val="0"/>
                <w:color w:val="000000"/>
                <w:sz w:val="21"/>
              </w:rPr>
              <w:t xml:space="preserve">    5.3 Comparison with Baseline and Existing Methods</w:t>
            </w:r>
          </w:p>
        </w:tc>
        <w:tc>
          <w:tcPr>
            <w:tcW w:type="dxa" w:w="1440"/>
          </w:tcPr>
          <w:p>
            <w:pPr>
              <w:spacing w:line="276" w:lineRule="auto" w:after="40"/>
              <w:jc w:val="right"/>
            </w:pPr>
            <w:r>
              <w:rPr>
                <w:rFonts w:ascii="Times New Roman" w:hAnsi="Times New Roman"/>
                <w:b w:val="0"/>
                <w:i w:val="0"/>
                <w:color w:val="000000"/>
                <w:sz w:val="21"/>
              </w:rPr>
              <w:t>31</w:t>
            </w:r>
          </w:p>
        </w:tc>
      </w:tr>
      <w:tr>
        <w:tc>
          <w:tcPr>
            <w:tcW w:type="dxa" w:w="7920"/>
          </w:tcPr>
          <w:p>
            <w:pPr>
              <w:spacing w:line="276" w:lineRule="auto" w:after="40"/>
              <w:jc w:val="both"/>
            </w:pPr>
            <w:r>
              <w:rPr>
                <w:rFonts w:ascii="Times New Roman" w:hAnsi="Times New Roman"/>
                <w:b w:val="0"/>
                <w:i w:val="0"/>
                <w:color w:val="000000"/>
                <w:sz w:val="21"/>
              </w:rPr>
              <w:t xml:space="preserve">    5.4 Interpretation of Findings and Feature Elasticity</w:t>
            </w:r>
          </w:p>
        </w:tc>
        <w:tc>
          <w:tcPr>
            <w:tcW w:type="dxa" w:w="1440"/>
          </w:tcPr>
          <w:p>
            <w:pPr>
              <w:spacing w:line="276" w:lineRule="auto" w:after="40"/>
              <w:jc w:val="right"/>
            </w:pPr>
            <w:r>
              <w:rPr>
                <w:rFonts w:ascii="Times New Roman" w:hAnsi="Times New Roman"/>
                <w:b w:val="0"/>
                <w:i w:val="0"/>
                <w:color w:val="000000"/>
                <w:sz w:val="21"/>
              </w:rPr>
              <w:t>32</w:t>
            </w:r>
          </w:p>
        </w:tc>
      </w:tr>
      <w:tr>
        <w:tc>
          <w:tcPr>
            <w:tcW w:type="dxa" w:w="7920"/>
          </w:tcPr>
          <w:p>
            <w:pPr>
              <w:spacing w:line="276" w:lineRule="auto" w:after="40"/>
              <w:jc w:val="both"/>
            </w:pPr>
            <w:r>
              <w:rPr>
                <w:rFonts w:ascii="Times New Roman" w:hAnsi="Times New Roman"/>
                <w:b w:val="0"/>
                <w:i w:val="0"/>
                <w:color w:val="000000"/>
                <w:sz w:val="21"/>
              </w:rPr>
              <w:t xml:space="preserve">    5.5 Limitations and Threats to Validity</w:t>
            </w:r>
          </w:p>
        </w:tc>
        <w:tc>
          <w:tcPr>
            <w:tcW w:type="dxa" w:w="1440"/>
          </w:tcPr>
          <w:p>
            <w:pPr>
              <w:spacing w:line="276" w:lineRule="auto" w:after="40"/>
              <w:jc w:val="right"/>
            </w:pPr>
            <w:r>
              <w:rPr>
                <w:rFonts w:ascii="Times New Roman" w:hAnsi="Times New Roman"/>
                <w:b w:val="0"/>
                <w:i w:val="0"/>
                <w:color w:val="000000"/>
                <w:sz w:val="21"/>
              </w:rPr>
              <w:t>34</w:t>
            </w:r>
          </w:p>
        </w:tc>
      </w:tr>
      <w:tr>
        <w:tc>
          <w:tcPr>
            <w:tcW w:type="dxa" w:w="7920"/>
          </w:tcPr>
          <w:p>
            <w:pPr>
              <w:spacing w:line="276" w:lineRule="auto" w:after="40"/>
              <w:jc w:val="both"/>
            </w:pPr>
            <w:r>
              <w:rPr>
                <w:rFonts w:ascii="Times New Roman" w:hAnsi="Times New Roman"/>
                <w:b/>
                <w:i w:val="0"/>
                <w:color w:val="000000"/>
                <w:sz w:val="21"/>
              </w:rPr>
              <w:t>Chapter 6: Conclusion and Future Work</w:t>
            </w:r>
          </w:p>
        </w:tc>
        <w:tc>
          <w:tcPr>
            <w:tcW w:type="dxa" w:w="1440"/>
          </w:tcPr>
          <w:p>
            <w:pPr>
              <w:spacing w:line="276" w:lineRule="auto" w:after="40"/>
              <w:jc w:val="right"/>
            </w:pPr>
            <w:r>
              <w:rPr>
                <w:rFonts w:ascii="Times New Roman" w:hAnsi="Times New Roman"/>
                <w:b/>
                <w:i w:val="0"/>
                <w:color w:val="000000"/>
                <w:sz w:val="21"/>
              </w:rPr>
              <w:t>35</w:t>
            </w:r>
          </w:p>
        </w:tc>
      </w:tr>
      <w:tr>
        <w:tc>
          <w:tcPr>
            <w:tcW w:type="dxa" w:w="7920"/>
          </w:tcPr>
          <w:p>
            <w:pPr>
              <w:spacing w:line="276" w:lineRule="auto" w:after="40"/>
              <w:jc w:val="both"/>
            </w:pPr>
            <w:r>
              <w:rPr>
                <w:rFonts w:ascii="Times New Roman" w:hAnsi="Times New Roman"/>
                <w:b w:val="0"/>
                <w:i w:val="0"/>
                <w:color w:val="000000"/>
                <w:sz w:val="21"/>
              </w:rPr>
              <w:t xml:space="preserve">    6.1 Summary of the Research</w:t>
            </w:r>
          </w:p>
        </w:tc>
        <w:tc>
          <w:tcPr>
            <w:tcW w:type="dxa" w:w="1440"/>
          </w:tcPr>
          <w:p>
            <w:pPr>
              <w:spacing w:line="276" w:lineRule="auto" w:after="40"/>
              <w:jc w:val="right"/>
            </w:pPr>
            <w:r>
              <w:rPr>
                <w:rFonts w:ascii="Times New Roman" w:hAnsi="Times New Roman"/>
                <w:b w:val="0"/>
                <w:i w:val="0"/>
                <w:color w:val="000000"/>
                <w:sz w:val="21"/>
              </w:rPr>
              <w:t>35</w:t>
            </w:r>
          </w:p>
        </w:tc>
      </w:tr>
      <w:tr>
        <w:tc>
          <w:tcPr>
            <w:tcW w:type="dxa" w:w="7920"/>
          </w:tcPr>
          <w:p>
            <w:pPr>
              <w:spacing w:line="276" w:lineRule="auto" w:after="40"/>
              <w:jc w:val="both"/>
            </w:pPr>
            <w:r>
              <w:rPr>
                <w:rFonts w:ascii="Times New Roman" w:hAnsi="Times New Roman"/>
                <w:b w:val="0"/>
                <w:i w:val="0"/>
                <w:color w:val="000000"/>
                <w:sz w:val="21"/>
              </w:rPr>
              <w:t xml:space="preserve">    6.2 Major Findings</w:t>
            </w:r>
          </w:p>
        </w:tc>
        <w:tc>
          <w:tcPr>
            <w:tcW w:type="dxa" w:w="1440"/>
          </w:tcPr>
          <w:p>
            <w:pPr>
              <w:spacing w:line="276" w:lineRule="auto" w:after="40"/>
              <w:jc w:val="right"/>
            </w:pPr>
            <w:r>
              <w:rPr>
                <w:rFonts w:ascii="Times New Roman" w:hAnsi="Times New Roman"/>
                <w:b w:val="0"/>
                <w:i w:val="0"/>
                <w:color w:val="000000"/>
                <w:sz w:val="21"/>
              </w:rPr>
              <w:t>35</w:t>
            </w:r>
          </w:p>
        </w:tc>
      </w:tr>
      <w:tr>
        <w:tc>
          <w:tcPr>
            <w:tcW w:type="dxa" w:w="7920"/>
          </w:tcPr>
          <w:p>
            <w:pPr>
              <w:spacing w:line="276" w:lineRule="auto" w:after="40"/>
              <w:jc w:val="both"/>
            </w:pPr>
            <w:r>
              <w:rPr>
                <w:rFonts w:ascii="Times New Roman" w:hAnsi="Times New Roman"/>
                <w:b w:val="0"/>
                <w:i w:val="0"/>
                <w:color w:val="000000"/>
                <w:sz w:val="21"/>
              </w:rPr>
              <w:t xml:space="preserve">    6.3 Research Contributions</w:t>
            </w:r>
          </w:p>
        </w:tc>
        <w:tc>
          <w:tcPr>
            <w:tcW w:type="dxa" w:w="1440"/>
          </w:tcPr>
          <w:p>
            <w:pPr>
              <w:spacing w:line="276" w:lineRule="auto" w:after="40"/>
              <w:jc w:val="right"/>
            </w:pPr>
            <w:r>
              <w:rPr>
                <w:rFonts w:ascii="Times New Roman" w:hAnsi="Times New Roman"/>
                <w:b w:val="0"/>
                <w:i w:val="0"/>
                <w:color w:val="000000"/>
                <w:sz w:val="21"/>
              </w:rPr>
              <w:t>36</w:t>
            </w:r>
          </w:p>
        </w:tc>
      </w:tr>
      <w:tr>
        <w:tc>
          <w:tcPr>
            <w:tcW w:type="dxa" w:w="7920"/>
          </w:tcPr>
          <w:p>
            <w:pPr>
              <w:spacing w:line="276" w:lineRule="auto" w:after="40"/>
              <w:jc w:val="both"/>
            </w:pPr>
            <w:r>
              <w:rPr>
                <w:rFonts w:ascii="Times New Roman" w:hAnsi="Times New Roman"/>
                <w:b w:val="0"/>
                <w:i w:val="0"/>
                <w:color w:val="000000"/>
                <w:sz w:val="21"/>
              </w:rPr>
              <w:t xml:space="preserve">    6.4 Limitations</w:t>
            </w:r>
          </w:p>
        </w:tc>
        <w:tc>
          <w:tcPr>
            <w:tcW w:type="dxa" w:w="1440"/>
          </w:tcPr>
          <w:p>
            <w:pPr>
              <w:spacing w:line="276" w:lineRule="auto" w:after="40"/>
              <w:jc w:val="right"/>
            </w:pPr>
            <w:r>
              <w:rPr>
                <w:rFonts w:ascii="Times New Roman" w:hAnsi="Times New Roman"/>
                <w:b w:val="0"/>
                <w:i w:val="0"/>
                <w:color w:val="000000"/>
                <w:sz w:val="21"/>
              </w:rPr>
              <w:t>37</w:t>
            </w:r>
          </w:p>
        </w:tc>
      </w:tr>
      <w:tr>
        <w:tc>
          <w:tcPr>
            <w:tcW w:type="dxa" w:w="7920"/>
          </w:tcPr>
          <w:p>
            <w:pPr>
              <w:spacing w:line="276" w:lineRule="auto" w:after="40"/>
              <w:jc w:val="both"/>
            </w:pPr>
            <w:r>
              <w:rPr>
                <w:rFonts w:ascii="Times New Roman" w:hAnsi="Times New Roman"/>
                <w:b w:val="0"/>
                <w:i w:val="0"/>
                <w:color w:val="000000"/>
                <w:sz w:val="21"/>
              </w:rPr>
              <w:t xml:space="preserve">    6.5 Future Research Directions</w:t>
            </w:r>
          </w:p>
        </w:tc>
        <w:tc>
          <w:tcPr>
            <w:tcW w:type="dxa" w:w="1440"/>
          </w:tcPr>
          <w:p>
            <w:pPr>
              <w:spacing w:line="276" w:lineRule="auto" w:after="40"/>
              <w:jc w:val="right"/>
            </w:pPr>
            <w:r>
              <w:rPr>
                <w:rFonts w:ascii="Times New Roman" w:hAnsi="Times New Roman"/>
                <w:b w:val="0"/>
                <w:i w:val="0"/>
                <w:color w:val="000000"/>
                <w:sz w:val="21"/>
              </w:rPr>
              <w:t>37</w:t>
            </w:r>
          </w:p>
        </w:tc>
      </w:tr>
      <w:tr>
        <w:tc>
          <w:tcPr>
            <w:tcW w:type="dxa" w:w="7920"/>
          </w:tcPr>
          <w:p>
            <w:pPr>
              <w:spacing w:line="276" w:lineRule="auto" w:after="40"/>
              <w:jc w:val="both"/>
            </w:pPr>
            <w:r>
              <w:rPr>
                <w:rFonts w:ascii="Times New Roman" w:hAnsi="Times New Roman"/>
                <w:b/>
                <w:i w:val="0"/>
                <w:color w:val="000000"/>
                <w:sz w:val="21"/>
              </w:rPr>
              <w:t>References / Bibliography</w:t>
            </w:r>
          </w:p>
        </w:tc>
        <w:tc>
          <w:tcPr>
            <w:tcW w:type="dxa" w:w="1440"/>
          </w:tcPr>
          <w:p>
            <w:pPr>
              <w:spacing w:line="276" w:lineRule="auto" w:after="40"/>
              <w:jc w:val="right"/>
            </w:pPr>
            <w:r>
              <w:rPr>
                <w:rFonts w:ascii="Times New Roman" w:hAnsi="Times New Roman"/>
                <w:b/>
                <w:i w:val="0"/>
                <w:color w:val="000000"/>
                <w:sz w:val="21"/>
              </w:rPr>
              <w:t>38</w:t>
            </w:r>
          </w:p>
        </w:tc>
      </w:tr>
      <w:tr>
        <w:tc>
          <w:tcPr>
            <w:tcW w:type="dxa" w:w="7920"/>
          </w:tcPr>
          <w:p>
            <w:pPr>
              <w:spacing w:line="276" w:lineRule="auto" w:after="40"/>
              <w:jc w:val="both"/>
            </w:pPr>
            <w:r>
              <w:rPr>
                <w:rFonts w:ascii="Times New Roman" w:hAnsi="Times New Roman"/>
                <w:b/>
                <w:i w:val="0"/>
                <w:color w:val="000000"/>
                <w:sz w:val="21"/>
              </w:rPr>
              <w:t>Appendices: Code and Dataset Availability</w:t>
            </w:r>
          </w:p>
        </w:tc>
        <w:tc>
          <w:tcPr>
            <w:tcW w:type="dxa" w:w="1440"/>
          </w:tcPr>
          <w:p>
            <w:pPr>
              <w:spacing w:line="276" w:lineRule="auto" w:after="40"/>
              <w:jc w:val="right"/>
            </w:pPr>
            <w:r>
              <w:rPr>
                <w:rFonts w:ascii="Times New Roman" w:hAnsi="Times New Roman"/>
                <w:b/>
                <w:i w:val="0"/>
                <w:color w:val="000000"/>
                <w:sz w:val="21"/>
              </w:rPr>
              <w:t>41</w:t>
            </w:r>
          </w:p>
        </w:tc>
      </w:tr>
    </w:tbl>
    <w:p>
      <w:r>
        <w:br w:type="page"/>
      </w:r>
    </w:p>
    <w:p>
      <w:pPr>
        <w:spacing w:line="360" w:lineRule="auto" w:after="240"/>
        <w:jc w:val="left"/>
      </w:pPr>
      <w:r>
        <w:rPr>
          <w:rFonts w:ascii="Times New Roman" w:hAnsi="Times New Roman"/>
          <w:b/>
          <w:i w:val="0"/>
          <w:color w:val="000000"/>
          <w:sz w:val="32"/>
        </w:rPr>
        <w:t>LIST OF FIGURES</w:t>
      </w:r>
    </w:p>
    <w:p>
      <w:pPr>
        <w:spacing w:line="312" w:lineRule="auto" w:after="80"/>
      </w:pPr>
      <w:r>
        <w:rPr>
          <w:rFonts w:ascii="Times New Roman" w:hAnsi="Times New Roman"/>
          <w:b/>
          <w:sz w:val="22"/>
        </w:rPr>
        <w:t xml:space="preserve">Figure 1.1: </w:t>
      </w:r>
      <w:r>
        <w:rPr>
          <w:rFonts w:ascii="Times New Roman" w:hAnsi="Times New Roman"/>
          <w:sz w:val="22"/>
        </w:rPr>
        <w:t>Target Order Distribution: Raw Demand Skewness vs. Log1p Transformed Normality  15</w:t>
      </w:r>
    </w:p>
    <w:p>
      <w:pPr>
        <w:spacing w:line="312" w:lineRule="auto" w:after="80"/>
      </w:pPr>
      <w:r>
        <w:rPr>
          <w:rFonts w:ascii="Times New Roman" w:hAnsi="Times New Roman"/>
          <w:b/>
          <w:sz w:val="22"/>
        </w:rPr>
        <w:t xml:space="preserve">Figure 1.2: </w:t>
      </w:r>
      <w:r>
        <w:rPr>
          <w:rFonts w:ascii="Times New Roman" w:hAnsi="Times New Roman"/>
          <w:sz w:val="22"/>
        </w:rPr>
        <w:t>Network-Wide 145-Week Aggregated Food Delivery Demand Telemetry ....... 16</w:t>
      </w:r>
    </w:p>
    <w:p>
      <w:pPr>
        <w:spacing w:line="312" w:lineRule="auto" w:after="80"/>
      </w:pPr>
      <w:r>
        <w:rPr>
          <w:rFonts w:ascii="Times New Roman" w:hAnsi="Times New Roman"/>
          <w:b/>
          <w:sz w:val="22"/>
        </w:rPr>
        <w:t xml:space="preserve">Figure 1.3: </w:t>
      </w:r>
      <w:r>
        <w:rPr>
          <w:rFonts w:ascii="Times New Roman" w:hAnsi="Times New Roman"/>
          <w:sz w:val="22"/>
        </w:rPr>
        <w:t>Empirical Promotional Lift: Order Volume under Emailer &amp; Homepage Features  18</w:t>
      </w:r>
    </w:p>
    <w:p>
      <w:pPr>
        <w:spacing w:line="312" w:lineRule="auto" w:after="80"/>
      </w:pPr>
      <w:r>
        <w:rPr>
          <w:rFonts w:ascii="Times New Roman" w:hAnsi="Times New Roman"/>
          <w:b/>
          <w:sz w:val="22"/>
        </w:rPr>
        <w:t xml:space="preserve">Figure 1.4: </w:t>
      </w:r>
      <w:r>
        <w:rPr>
          <w:rFonts w:ascii="Times New Roman" w:hAnsi="Times New Roman"/>
          <w:sz w:val="22"/>
        </w:rPr>
        <w:t>Order Distribution by Cuisine Category and Meal Offering Taxonomy ..... 28</w:t>
      </w:r>
    </w:p>
    <w:p>
      <w:pPr>
        <w:spacing w:line="312" w:lineRule="auto" w:after="80"/>
      </w:pPr>
      <w:r>
        <w:rPr>
          <w:rFonts w:ascii="Times New Roman" w:hAnsi="Times New Roman"/>
          <w:b/>
          <w:sz w:val="22"/>
        </w:rPr>
        <w:t xml:space="preserve">Figure 1.5: </w:t>
      </w:r>
      <w:r>
        <w:rPr>
          <w:rFonts w:ascii="Times New Roman" w:hAnsi="Times New Roman"/>
          <w:sz w:val="22"/>
        </w:rPr>
        <w:t>Fulfillment Center Operational Dynamics: Center Types vs. Operational Area (km²)  29</w:t>
      </w:r>
    </w:p>
    <w:p>
      <w:pPr>
        <w:spacing w:line="312" w:lineRule="auto" w:after="80"/>
      </w:pPr>
      <w:r>
        <w:rPr>
          <w:rFonts w:ascii="Times New Roman" w:hAnsi="Times New Roman"/>
          <w:b/>
          <w:sz w:val="22"/>
        </w:rPr>
        <w:t xml:space="preserve">Figure 1.6: </w:t>
      </w:r>
      <w:r>
        <w:rPr>
          <w:rFonts w:ascii="Times New Roman" w:hAnsi="Times New Roman"/>
          <w:sz w:val="22"/>
        </w:rPr>
        <w:t>Price Elasticity: Checkout Price vs. Weekly Order Volume across 4 Cuisines  30</w:t>
      </w:r>
    </w:p>
    <w:p>
      <w:pPr>
        <w:spacing w:line="312" w:lineRule="auto" w:after="80"/>
      </w:pPr>
      <w:r>
        <w:rPr>
          <w:rFonts w:ascii="Times New Roman" w:hAnsi="Times New Roman"/>
          <w:b/>
          <w:sz w:val="22"/>
        </w:rPr>
        <w:t xml:space="preserve">Figure 1.7: </w:t>
      </w:r>
      <w:r>
        <w:rPr>
          <w:rFonts w:ascii="Times New Roman" w:hAnsi="Times New Roman"/>
          <w:sz w:val="22"/>
        </w:rPr>
        <w:t>Pearson Correlation Matrix across Numerical Operational Features ...... 31</w:t>
      </w:r>
    </w:p>
    <w:p>
      <w:pPr>
        <w:spacing w:line="312" w:lineRule="auto" w:after="80"/>
      </w:pPr>
      <w:r>
        <w:rPr>
          <w:rFonts w:ascii="Times New Roman" w:hAnsi="Times New Roman"/>
          <w:b/>
          <w:sz w:val="22"/>
        </w:rPr>
        <w:t xml:space="preserve">Figure 1.8: </w:t>
      </w:r>
      <w:r>
        <w:rPr>
          <w:rFonts w:ascii="Times New Roman" w:hAnsi="Times New Roman"/>
          <w:sz w:val="22"/>
        </w:rPr>
        <w:t>Top 10 High-Velocity Meal Items Ranked by Cumulative Order Volume ..... 32</w:t>
      </w:r>
    </w:p>
    <w:p>
      <w:pPr>
        <w:spacing w:line="312" w:lineRule="auto" w:after="80"/>
      </w:pPr>
      <w:r>
        <w:rPr>
          <w:rFonts w:ascii="Times New Roman" w:hAnsi="Times New Roman"/>
          <w:b/>
          <w:sz w:val="22"/>
        </w:rPr>
        <w:t xml:space="preserve">Figure 4.1: </w:t>
      </w:r>
      <w:r>
        <w:rPr>
          <w:rFonts w:ascii="Times New Roman" w:hAnsi="Times New Roman"/>
          <w:sz w:val="22"/>
        </w:rPr>
        <w:t>Dual-Tier Hierarchical Demand Forecasting System Architecture ......... 23</w:t>
      </w:r>
    </w:p>
    <w:p>
      <w:pPr>
        <w:spacing w:line="312" w:lineRule="auto" w:after="80"/>
      </w:pPr>
      <w:r>
        <w:rPr>
          <w:rFonts w:ascii="Times New Roman" w:hAnsi="Times New Roman"/>
          <w:b/>
          <w:sz w:val="22"/>
        </w:rPr>
        <w:t xml:space="preserve">Figure 4.2: </w:t>
      </w:r>
      <w:r>
        <w:rPr>
          <w:rFonts w:ascii="Times New Roman" w:hAnsi="Times New Roman"/>
          <w:sz w:val="22"/>
        </w:rPr>
        <w:t>End-to-End Ingestion, Feature Pipeline, and Model Inference Workflow .. 24</w:t>
      </w:r>
    </w:p>
    <w:p/>
    <w:p>
      <w:pPr>
        <w:spacing w:line="360" w:lineRule="auto" w:after="240"/>
        <w:jc w:val="left"/>
      </w:pPr>
      <w:r>
        <w:rPr>
          <w:rFonts w:ascii="Times New Roman" w:hAnsi="Times New Roman"/>
          <w:b/>
          <w:i w:val="0"/>
          <w:color w:val="000000"/>
          <w:sz w:val="32"/>
        </w:rPr>
        <w:t>LIST OF TABLES</w:t>
      </w:r>
    </w:p>
    <w:p>
      <w:pPr>
        <w:spacing w:line="312" w:lineRule="auto" w:after="80"/>
      </w:pPr>
      <w:r>
        <w:rPr>
          <w:rFonts w:ascii="Times New Roman" w:hAnsi="Times New Roman"/>
          <w:b/>
          <w:sz w:val="22"/>
        </w:rPr>
        <w:t xml:space="preserve">Table 1.1: </w:t>
      </w:r>
      <w:r>
        <w:rPr>
          <w:rFonts w:ascii="Times New Roman" w:hAnsi="Times New Roman"/>
          <w:sz w:val="22"/>
        </w:rPr>
        <w:t>Summary of Fulfillment Telemetry Dataset Attributes ................... 13</w:t>
      </w:r>
    </w:p>
    <w:p>
      <w:pPr>
        <w:spacing w:line="312" w:lineRule="auto" w:after="80"/>
      </w:pPr>
      <w:r>
        <w:rPr>
          <w:rFonts w:ascii="Times New Roman" w:hAnsi="Times New Roman"/>
          <w:b/>
          <w:sz w:val="22"/>
        </w:rPr>
        <w:t xml:space="preserve">Table 2.1: </w:t>
      </w:r>
      <w:r>
        <w:rPr>
          <w:rFonts w:ascii="Times New Roman" w:hAnsi="Times New Roman"/>
          <w:sz w:val="22"/>
        </w:rPr>
        <w:t>Comparative Analysis of Existing Demand Forecasting Methodologies ..... 9</w:t>
      </w:r>
    </w:p>
    <w:p>
      <w:pPr>
        <w:spacing w:line="312" w:lineRule="auto" w:after="80"/>
      </w:pPr>
      <w:r>
        <w:rPr>
          <w:rFonts w:ascii="Times New Roman" w:hAnsi="Times New Roman"/>
          <w:b/>
          <w:sz w:val="22"/>
        </w:rPr>
        <w:t xml:space="preserve">Table 3.1: </w:t>
      </w:r>
      <w:r>
        <w:rPr>
          <w:rFonts w:ascii="Times New Roman" w:hAnsi="Times New Roman"/>
          <w:sz w:val="22"/>
        </w:rPr>
        <w:t>Chronological Out-of-Sample Train/Holdout Partition Strategy .......... 14</w:t>
      </w:r>
    </w:p>
    <w:p>
      <w:pPr>
        <w:spacing w:line="312" w:lineRule="auto" w:after="80"/>
      </w:pPr>
      <w:r>
        <w:rPr>
          <w:rFonts w:ascii="Times New Roman" w:hAnsi="Times New Roman"/>
          <w:b/>
          <w:sz w:val="22"/>
        </w:rPr>
        <w:t xml:space="preserve">Table 3.2: </w:t>
      </w:r>
      <w:r>
        <w:rPr>
          <w:rFonts w:ascii="Times New Roman" w:hAnsi="Times New Roman"/>
          <w:sz w:val="22"/>
        </w:rPr>
        <w:t>Hyperparameter Configuration for Production LightGBM Regressor ........ 25</w:t>
      </w:r>
    </w:p>
    <w:p>
      <w:pPr>
        <w:spacing w:line="312" w:lineRule="auto" w:after="80"/>
      </w:pPr>
      <w:r>
        <w:rPr>
          <w:rFonts w:ascii="Times New Roman" w:hAnsi="Times New Roman"/>
          <w:b/>
          <w:sz w:val="22"/>
        </w:rPr>
        <w:t xml:space="preserve">Table 4.1: </w:t>
      </w:r>
      <w:r>
        <w:rPr>
          <w:rFonts w:ascii="Times New Roman" w:hAnsi="Times New Roman"/>
          <w:sz w:val="22"/>
        </w:rPr>
        <w:t>Computational Training and Inference Benchmark Profiling .............. 26</w:t>
      </w:r>
    </w:p>
    <w:p>
      <w:pPr>
        <w:spacing w:line="312" w:lineRule="auto" w:after="80"/>
      </w:pPr>
      <w:r>
        <w:rPr>
          <w:rFonts w:ascii="Times New Roman" w:hAnsi="Times New Roman"/>
          <w:b/>
          <w:sz w:val="22"/>
        </w:rPr>
        <w:t xml:space="preserve">Table 5.1: </w:t>
      </w:r>
      <w:r>
        <w:rPr>
          <w:rFonts w:ascii="Times New Roman" w:hAnsi="Times New Roman"/>
          <w:sz w:val="22"/>
        </w:rPr>
        <w:t>Model Accuracy Scorecard on Out-of-Sample Holdout (Weeks 121–145) ..... 27</w:t>
      </w:r>
    </w:p>
    <w:p>
      <w:pPr>
        <w:spacing w:line="312" w:lineRule="auto" w:after="80"/>
      </w:pPr>
      <w:r>
        <w:rPr>
          <w:rFonts w:ascii="Times New Roman" w:hAnsi="Times New Roman"/>
          <w:b/>
          <w:sz w:val="22"/>
        </w:rPr>
        <w:t xml:space="preserve">Table 5.2: </w:t>
      </w:r>
      <w:r>
        <w:rPr>
          <w:rFonts w:ascii="Times New Roman" w:hAnsi="Times New Roman"/>
          <w:sz w:val="22"/>
        </w:rPr>
        <w:t>Sub-Segment Performance across Fulfillment Center Types (A, B, C) ..... 30</w:t>
      </w:r>
    </w:p>
    <w:p/>
    <w:p>
      <w:pPr>
        <w:spacing w:line="360" w:lineRule="auto" w:after="240"/>
        <w:jc w:val="left"/>
      </w:pPr>
      <w:r>
        <w:rPr>
          <w:rFonts w:ascii="Times New Roman" w:hAnsi="Times New Roman"/>
          <w:b/>
          <w:i w:val="0"/>
          <w:color w:val="000000"/>
          <w:sz w:val="32"/>
        </w:rPr>
        <w:t>LIST OF ABBREVIATIONS</w:t>
      </w:r>
    </w:p>
    <w:p>
      <w:pPr>
        <w:spacing w:line="276" w:lineRule="auto" w:after="40"/>
      </w:pPr>
      <w:r>
        <w:rPr>
          <w:rFonts w:ascii="Times New Roman" w:hAnsi="Times New Roman"/>
          <w:b/>
          <w:sz w:val="22"/>
        </w:rPr>
        <w:t xml:space="preserve">AIC         </w:t>
      </w:r>
      <w:r>
        <w:rPr>
          <w:rFonts w:ascii="Times New Roman" w:hAnsi="Times New Roman"/>
          <w:sz w:val="22"/>
        </w:rPr>
        <w:t>Akaike Information Criterion</w:t>
      </w:r>
    </w:p>
    <w:p>
      <w:pPr>
        <w:spacing w:line="276" w:lineRule="auto" w:after="40"/>
      </w:pPr>
      <w:r>
        <w:rPr>
          <w:rFonts w:ascii="Times New Roman" w:hAnsi="Times New Roman"/>
          <w:b/>
          <w:sz w:val="22"/>
        </w:rPr>
        <w:t xml:space="preserve">BIC         </w:t>
      </w:r>
      <w:r>
        <w:rPr>
          <w:rFonts w:ascii="Times New Roman" w:hAnsi="Times New Roman"/>
          <w:sz w:val="22"/>
        </w:rPr>
        <w:t>Bayesian Information Criterion</w:t>
      </w:r>
    </w:p>
    <w:p>
      <w:pPr>
        <w:spacing w:line="276" w:lineRule="auto" w:after="40"/>
      </w:pPr>
      <w:r>
        <w:rPr>
          <w:rFonts w:ascii="Times New Roman" w:hAnsi="Times New Roman"/>
          <w:b/>
          <w:sz w:val="22"/>
        </w:rPr>
        <w:t xml:space="preserve">EFB         </w:t>
      </w:r>
      <w:r>
        <w:rPr>
          <w:rFonts w:ascii="Times New Roman" w:hAnsi="Times New Roman"/>
          <w:sz w:val="22"/>
        </w:rPr>
        <w:t>Exclusive Feature Bundling</w:t>
      </w:r>
    </w:p>
    <w:p>
      <w:pPr>
        <w:spacing w:line="276" w:lineRule="auto" w:after="40"/>
      </w:pPr>
      <w:r>
        <w:rPr>
          <w:rFonts w:ascii="Times New Roman" w:hAnsi="Times New Roman"/>
          <w:b/>
          <w:sz w:val="22"/>
        </w:rPr>
        <w:t xml:space="preserve">GLM         </w:t>
      </w:r>
      <w:r>
        <w:rPr>
          <w:rFonts w:ascii="Times New Roman" w:hAnsi="Times New Roman"/>
          <w:sz w:val="22"/>
        </w:rPr>
        <w:t>Generalized Linear Model</w:t>
      </w:r>
    </w:p>
    <w:p>
      <w:pPr>
        <w:spacing w:line="276" w:lineRule="auto" w:after="40"/>
      </w:pPr>
      <w:r>
        <w:rPr>
          <w:rFonts w:ascii="Times New Roman" w:hAnsi="Times New Roman"/>
          <w:b/>
          <w:sz w:val="22"/>
        </w:rPr>
        <w:t xml:space="preserve">GOSS        </w:t>
      </w:r>
      <w:r>
        <w:rPr>
          <w:rFonts w:ascii="Times New Roman" w:hAnsi="Times New Roman"/>
          <w:sz w:val="22"/>
        </w:rPr>
        <w:t>Gradient-based One-Side Sampling</w:t>
      </w:r>
    </w:p>
    <w:p>
      <w:pPr>
        <w:spacing w:line="276" w:lineRule="auto" w:after="40"/>
      </w:pPr>
      <w:r>
        <w:rPr>
          <w:rFonts w:ascii="Times New Roman" w:hAnsi="Times New Roman"/>
          <w:b/>
          <w:sz w:val="22"/>
        </w:rPr>
        <w:t xml:space="preserve">IRLS        </w:t>
      </w:r>
      <w:r>
        <w:rPr>
          <w:rFonts w:ascii="Times New Roman" w:hAnsi="Times New Roman"/>
          <w:sz w:val="22"/>
        </w:rPr>
        <w:t>Iteratively Reweighted Least Squares</w:t>
      </w:r>
    </w:p>
    <w:p>
      <w:pPr>
        <w:spacing w:line="276" w:lineRule="auto" w:after="40"/>
      </w:pPr>
      <w:r>
        <w:rPr>
          <w:rFonts w:ascii="Times New Roman" w:hAnsi="Times New Roman"/>
          <w:b/>
          <w:sz w:val="22"/>
        </w:rPr>
        <w:t xml:space="preserve">LightGBM    </w:t>
      </w:r>
      <w:r>
        <w:rPr>
          <w:rFonts w:ascii="Times New Roman" w:hAnsi="Times New Roman"/>
          <w:sz w:val="22"/>
        </w:rPr>
        <w:t>Light Gradient Boosting Machine</w:t>
      </w:r>
    </w:p>
    <w:p>
      <w:pPr>
        <w:spacing w:line="276" w:lineRule="auto" w:after="40"/>
      </w:pPr>
      <w:r>
        <w:rPr>
          <w:rFonts w:ascii="Times New Roman" w:hAnsi="Times New Roman"/>
          <w:b/>
          <w:sz w:val="22"/>
        </w:rPr>
        <w:t xml:space="preserve">MAE         </w:t>
      </w:r>
      <w:r>
        <w:rPr>
          <w:rFonts w:ascii="Times New Roman" w:hAnsi="Times New Roman"/>
          <w:sz w:val="22"/>
        </w:rPr>
        <w:t>Mean Absolute Error</w:t>
      </w:r>
    </w:p>
    <w:p>
      <w:pPr>
        <w:spacing w:line="276" w:lineRule="auto" w:after="40"/>
      </w:pPr>
      <w:r>
        <w:rPr>
          <w:rFonts w:ascii="Times New Roman" w:hAnsi="Times New Roman"/>
          <w:b/>
          <w:sz w:val="22"/>
        </w:rPr>
        <w:t xml:space="preserve">MAPE        </w:t>
      </w:r>
      <w:r>
        <w:rPr>
          <w:rFonts w:ascii="Times New Roman" w:hAnsi="Times New Roman"/>
          <w:sz w:val="22"/>
        </w:rPr>
        <w:t>Mean Absolute Percentage Error</w:t>
      </w:r>
    </w:p>
    <w:p>
      <w:pPr>
        <w:spacing w:line="276" w:lineRule="auto" w:after="40"/>
      </w:pPr>
      <w:r>
        <w:rPr>
          <w:rFonts w:ascii="Times New Roman" w:hAnsi="Times New Roman"/>
          <w:b/>
          <w:sz w:val="22"/>
        </w:rPr>
        <w:t xml:space="preserve">MSE         </w:t>
      </w:r>
      <w:r>
        <w:rPr>
          <w:rFonts w:ascii="Times New Roman" w:hAnsi="Times New Roman"/>
          <w:sz w:val="22"/>
        </w:rPr>
        <w:t>Mean Squared Error</w:t>
      </w:r>
    </w:p>
    <w:p>
      <w:pPr>
        <w:spacing w:line="276" w:lineRule="auto" w:after="40"/>
      </w:pPr>
      <w:r>
        <w:rPr>
          <w:rFonts w:ascii="Times New Roman" w:hAnsi="Times New Roman"/>
          <w:b/>
          <w:sz w:val="22"/>
        </w:rPr>
        <w:t xml:space="preserve">POS         </w:t>
      </w:r>
      <w:r>
        <w:rPr>
          <w:rFonts w:ascii="Times New Roman" w:hAnsi="Times New Roman"/>
          <w:sz w:val="22"/>
        </w:rPr>
        <w:t>Point of Sale</w:t>
      </w:r>
    </w:p>
    <w:p>
      <w:pPr>
        <w:spacing w:line="276" w:lineRule="auto" w:after="40"/>
      </w:pPr>
      <w:r>
        <w:rPr>
          <w:rFonts w:ascii="Times New Roman" w:hAnsi="Times New Roman"/>
          <w:b/>
          <w:sz w:val="22"/>
        </w:rPr>
        <w:t xml:space="preserve">QSR         </w:t>
      </w:r>
      <w:r>
        <w:rPr>
          <w:rFonts w:ascii="Times New Roman" w:hAnsi="Times New Roman"/>
          <w:sz w:val="22"/>
        </w:rPr>
        <w:t>Quick Service Restaurant</w:t>
      </w:r>
    </w:p>
    <w:p>
      <w:pPr>
        <w:spacing w:line="276" w:lineRule="auto" w:after="40"/>
      </w:pPr>
      <w:r>
        <w:rPr>
          <w:rFonts w:ascii="Times New Roman" w:hAnsi="Times New Roman"/>
          <w:b/>
          <w:sz w:val="22"/>
        </w:rPr>
        <w:t xml:space="preserve">RMSE        </w:t>
      </w:r>
      <w:r>
        <w:rPr>
          <w:rFonts w:ascii="Times New Roman" w:hAnsi="Times New Roman"/>
          <w:sz w:val="22"/>
        </w:rPr>
        <w:t>Root Mean Squared Error</w:t>
      </w:r>
    </w:p>
    <w:p>
      <w:pPr>
        <w:spacing w:line="276" w:lineRule="auto" w:after="40"/>
      </w:pPr>
      <w:r>
        <w:rPr>
          <w:rFonts w:ascii="Times New Roman" w:hAnsi="Times New Roman"/>
          <w:b/>
          <w:sz w:val="22"/>
        </w:rPr>
        <w:t xml:space="preserve">RMSLE       </w:t>
      </w:r>
      <w:r>
        <w:rPr>
          <w:rFonts w:ascii="Times New Roman" w:hAnsi="Times New Roman"/>
          <w:sz w:val="22"/>
        </w:rPr>
        <w:t>Root Mean Squared Logarithmic Error</w:t>
      </w:r>
    </w:p>
    <w:p>
      <w:pPr>
        <w:spacing w:line="276" w:lineRule="auto" w:after="40"/>
      </w:pPr>
      <w:r>
        <w:rPr>
          <w:rFonts w:ascii="Times New Roman" w:hAnsi="Times New Roman"/>
          <w:b/>
          <w:sz w:val="22"/>
        </w:rPr>
        <w:t xml:space="preserve">SARIMA      </w:t>
      </w:r>
      <w:r>
        <w:rPr>
          <w:rFonts w:ascii="Times New Roman" w:hAnsi="Times New Roman"/>
          <w:sz w:val="22"/>
        </w:rPr>
        <w:t>Seasonal Autoregressive Integrated Moving Average</w:t>
      </w:r>
    </w:p>
    <w:p>
      <w:pPr>
        <w:spacing w:line="276" w:lineRule="auto" w:after="40"/>
      </w:pPr>
      <w:r>
        <w:rPr>
          <w:rFonts w:ascii="Times New Roman" w:hAnsi="Times New Roman"/>
          <w:b/>
          <w:sz w:val="22"/>
        </w:rPr>
        <w:t xml:space="preserve">SKU         </w:t>
      </w:r>
      <w:r>
        <w:rPr>
          <w:rFonts w:ascii="Times New Roman" w:hAnsi="Times New Roman"/>
          <w:sz w:val="22"/>
        </w:rPr>
        <w:t>Stock Keeping Unit</w:t>
      </w:r>
    </w:p>
    <w:p>
      <w:pPr>
        <w:spacing w:line="276" w:lineRule="auto" w:after="40"/>
      </w:pPr>
      <w:r>
        <w:rPr>
          <w:rFonts w:ascii="Times New Roman" w:hAnsi="Times New Roman"/>
          <w:b/>
          <w:sz w:val="22"/>
        </w:rPr>
        <w:t xml:space="preserve">STL         </w:t>
      </w:r>
      <w:r>
        <w:rPr>
          <w:rFonts w:ascii="Times New Roman" w:hAnsi="Times New Roman"/>
          <w:sz w:val="22"/>
        </w:rPr>
        <w:t>Seasonal and Trend Decomposition using Loess</w:t>
      </w:r>
    </w:p>
    <w:p>
      <w:r>
        <w:br w:type="page"/>
      </w:r>
    </w:p>
    <w:p>
      <w:pPr>
        <w:spacing w:line="360" w:lineRule="auto" w:after="240"/>
        <w:jc w:val="left"/>
      </w:pPr>
      <w:r>
        <w:rPr>
          <w:rFonts w:ascii="Times New Roman" w:hAnsi="Times New Roman"/>
          <w:b/>
          <w:i w:val="0"/>
          <w:color w:val="000000"/>
          <w:sz w:val="32"/>
        </w:rPr>
        <w:t>Chapter 1: Introduction</w:t>
      </w:r>
    </w:p>
    <w:p>
      <w:pPr>
        <w:spacing w:line="360" w:lineRule="auto" w:after="160"/>
        <w:jc w:val="left"/>
      </w:pPr>
      <w:r>
        <w:rPr>
          <w:rFonts w:ascii="Times New Roman" w:hAnsi="Times New Roman"/>
          <w:b/>
          <w:i w:val="0"/>
          <w:color w:val="000000"/>
          <w:sz w:val="28"/>
        </w:rPr>
        <w:t>1.1 Background of the Study</w:t>
      </w:r>
    </w:p>
    <w:p>
      <w:pPr>
        <w:spacing w:line="360" w:lineRule="auto" w:after="120"/>
        <w:jc w:val="both"/>
      </w:pPr>
      <w:r>
        <w:rPr>
          <w:rFonts w:ascii="Times New Roman" w:hAnsi="Times New Roman"/>
          <w:sz w:val="24"/>
        </w:rPr>
        <w:t>The rapid proliferation of digital food delivery platforms and on-demand cloud kitchen networks has transformed urban culinary commerce across the globe. Unlike traditional brick-and-mortar dining establishments where table seating capacity imposes a natural upper bound on concurrent meal preparation, online food fulfillment facilities operate within a volatile, highly dynamic demand environment characterized by sharp surge peaks, stochastic customer ordering behavior, and multi-channel marketing campaigns.</w:t>
      </w:r>
    </w:p>
    <w:p>
      <w:pPr>
        <w:spacing w:line="360" w:lineRule="auto" w:after="120"/>
        <w:jc w:val="both"/>
      </w:pPr>
      <w:r>
        <w:rPr>
          <w:rFonts w:ascii="Times New Roman" w:hAnsi="Times New Roman"/>
          <w:sz w:val="24"/>
        </w:rPr>
        <w:t>In this modern operating model, meal preparation facilities—frequently configured as centralized commissary kitchens, regional fulfillment centers, or delivery-only dark kitchens—rely entirely on dispatch algorithms and cold-chain supply operations. A meal order placed by an end consumer on a mobile application initiates a synchronized sequence of inventory extraction, line-cook batch preparation, packaging, courier handoff, and last-mile delivery. The efficiency of this complex pipeline depends fundamentally on forward visibility: procurement teams must order perishable raw produce, proteins, and dairy days or weeks in advance, while facility managers must align kitchen prep station staffing with anticipated peak hourly volumes.</w:t>
      </w:r>
    </w:p>
    <w:p>
      <w:pPr>
        <w:spacing w:line="360" w:lineRule="auto" w:after="160"/>
        <w:jc w:val="left"/>
      </w:pPr>
      <w:r>
        <w:rPr>
          <w:rFonts w:ascii="Times New Roman" w:hAnsi="Times New Roman"/>
          <w:b/>
          <w:i w:val="0"/>
          <w:color w:val="000000"/>
          <w:sz w:val="28"/>
        </w:rPr>
        <w:t>1.2 Problem Statement</w:t>
      </w:r>
    </w:p>
    <w:p>
      <w:pPr>
        <w:spacing w:line="360" w:lineRule="auto" w:after="120"/>
        <w:jc w:val="both"/>
      </w:pPr>
      <w:r>
        <w:rPr>
          <w:rFonts w:ascii="Times New Roman" w:hAnsi="Times New Roman"/>
          <w:sz w:val="24"/>
        </w:rPr>
        <w:t>Food delivery demand forecasting presents a uniquely challenging operational forecasting problem governed by an acute asymmetric loss matrix. In conventional retail supply chains (such as non-perishable consumer packaged goods), forecasting errors typically translate into inventory carrying costs or delayed backorders. In contrast, in prepared meal delivery operations:</w:t>
      </w:r>
    </w:p>
    <w:p>
      <w:pPr>
        <w:pStyle w:val="ListBullet"/>
        <w:spacing w:line="360" w:lineRule="auto" w:after="80"/>
      </w:pPr>
      <w:r>
        <w:rPr>
          <w:rFonts w:ascii="Times New Roman" w:hAnsi="Times New Roman"/>
          <w:b/>
          <w:sz w:val="24"/>
        </w:rPr>
        <w:t xml:space="preserve">Over-prediction Penalties: </w:t>
      </w:r>
      <w:r>
        <w:rPr>
          <w:rFonts w:ascii="Times New Roman" w:hAnsi="Times New Roman"/>
          <w:sz w:val="24"/>
        </w:rPr>
        <w:t>Perishable culinary ingredients (fresh vegetables, meats, herbs, prepared gravies) possess shelf lives measured in hours or days. Over-predicting demand results in catastrophic raw ingredient spoilage, physical waste disposal overhead, and direct financial margin erosion.</w:t>
      </w:r>
    </w:p>
    <w:p>
      <w:pPr>
        <w:pStyle w:val="ListBullet"/>
        <w:spacing w:line="360" w:lineRule="auto" w:after="80"/>
      </w:pPr>
      <w:r>
        <w:rPr>
          <w:rFonts w:ascii="Times New Roman" w:hAnsi="Times New Roman"/>
          <w:b/>
          <w:sz w:val="24"/>
        </w:rPr>
        <w:t xml:space="preserve">Under-prediction Penalties: </w:t>
      </w:r>
      <w:r>
        <w:rPr>
          <w:rFonts w:ascii="Times New Roman" w:hAnsi="Times New Roman"/>
          <w:sz w:val="24"/>
        </w:rPr>
        <w:t>Under-predicting order volume triggers immediate stockouts, order cancellation surges, severe food preparation delays, courier dwell-time spikes at pickup counters, and long-term customer churn.</w:t>
      </w:r>
    </w:p>
    <w:p>
      <w:pPr>
        <w:spacing w:line="360" w:lineRule="auto" w:after="120"/>
        <w:jc w:val="both"/>
      </w:pPr>
      <w:r>
        <w:rPr>
          <w:rFonts w:ascii="Times New Roman" w:hAnsi="Times New Roman"/>
          <w:sz w:val="24"/>
        </w:rPr>
        <w:t>Furthermore, food delivery demand exhibits extreme non-stationarity driven by calendar rhythms (weekday lunches vs. weekend dinner surges), promotional shocks (homepage app spotlights and email marketing campaigns), localized weather events, and pronounced price elasticity. Traditional time-series heuristics (such as rolling moving averages or naive persistence) fail to capture non-linear feature interactions, while standard linear regressions struggle with the severe positive skewness and zero-inflation inherent to granular meal-center point-of-sale telemetry.</w:t>
      </w:r>
    </w:p>
    <w:p>
      <w:pPr>
        <w:spacing w:line="360" w:lineRule="auto" w:after="160"/>
        <w:jc w:val="left"/>
      </w:pPr>
      <w:r>
        <w:rPr>
          <w:rFonts w:ascii="Times New Roman" w:hAnsi="Times New Roman"/>
          <w:b/>
          <w:i w:val="0"/>
          <w:color w:val="000000"/>
          <w:sz w:val="28"/>
        </w:rPr>
        <w:t>1.3 Research Motivation and Significance</w:t>
      </w:r>
    </w:p>
    <w:p>
      <w:pPr>
        <w:spacing w:line="360" w:lineRule="auto" w:after="120"/>
        <w:jc w:val="both"/>
      </w:pPr>
      <w:r>
        <w:rPr>
          <w:rFonts w:ascii="Times New Roman" w:hAnsi="Times New Roman"/>
          <w:sz w:val="24"/>
        </w:rPr>
        <w:t>The motivation of this research is twofold: commercial economic optimization and environmental sustainability. From an economic perspective, cloud kitchens operate on razor-thin operating margins (typically between 4% and 8%). Inaccurate procurement estimates can entirely erase facility profitability through unrecoverable food spoilage. From an environmental standpoint, global food waste contributes approximately 8% to 10% of total greenhouse gas emissions; optimizing demand forecasting within food service logistics represents a direct, high-impact lever for reducing agricultural and logistical waste.</w:t>
      </w:r>
    </w:p>
    <w:p>
      <w:pPr>
        <w:spacing w:line="360" w:lineRule="auto" w:after="120"/>
        <w:jc w:val="both"/>
      </w:pPr>
      <w:r>
        <w:rPr>
          <w:rFonts w:ascii="Times New Roman" w:hAnsi="Times New Roman"/>
          <w:sz w:val="24"/>
        </w:rPr>
        <w:t>The academic significance of this investigation lies in establishing an empirically verified, dual-tier hierarchical framework that bridges the gap between micro-level item demand modeling (predicting weekly demand for 51 individual meal offerings across 77 fulfillment centers) and macro-level fleet capacity sizing (forecasting multi-week aggregated network delivery volumes using seasonal econometrics).</w:t>
      </w:r>
    </w:p>
    <w:p>
      <w:pPr>
        <w:spacing w:line="360" w:lineRule="auto" w:after="160"/>
        <w:jc w:val="left"/>
      </w:pPr>
      <w:r>
        <w:rPr>
          <w:rFonts w:ascii="Times New Roman" w:hAnsi="Times New Roman"/>
          <w:b/>
          <w:i w:val="0"/>
          <w:color w:val="000000"/>
          <w:sz w:val="28"/>
        </w:rPr>
        <w:t>1.4 Research Aim and Objectives</w:t>
      </w:r>
    </w:p>
    <w:p>
      <w:pPr>
        <w:spacing w:line="360" w:lineRule="auto" w:after="120"/>
        <w:jc w:val="both"/>
      </w:pPr>
      <w:r>
        <w:rPr>
          <w:rFonts w:ascii="Times New Roman" w:hAnsi="Times New Roman"/>
          <w:sz w:val="24"/>
        </w:rPr>
        <w:t>The overarching aim of this research is to formulate, implement, and benchmark an end-to-end predictive analytics framework capable of forecasting meal order demand across heterogeneous fulfillment centers with state-of-the-art accuracy, low inference latency, and high operational interpretability. To achieve this aim, the following specific objectives are pursued:</w:t>
      </w:r>
    </w:p>
    <w:p>
      <w:pPr>
        <w:pStyle w:val="ListBullet"/>
        <w:spacing w:line="360" w:lineRule="auto" w:after="80"/>
      </w:pPr>
      <w:r>
        <w:rPr>
          <w:rFonts w:ascii="Times New Roman" w:hAnsi="Times New Roman"/>
          <w:b/>
          <w:sz w:val="24"/>
        </w:rPr>
        <w:t xml:space="preserve">Objective 1: </w:t>
      </w:r>
      <w:r>
        <w:rPr>
          <w:rFonts w:ascii="Times New Roman" w:hAnsi="Times New Roman"/>
          <w:sz w:val="24"/>
        </w:rPr>
        <w:t>Conduct extensive exploratory data analysis on 456,548 historical point-of-sale transactions across 145 weeks, characterizing the statistical distributions of order volume, pricing elasticity, and promotional lift across center typologies.</w:t>
      </w:r>
    </w:p>
    <w:p>
      <w:pPr>
        <w:pStyle w:val="ListBullet"/>
        <w:spacing w:line="360" w:lineRule="auto" w:after="80"/>
      </w:pPr>
      <w:r>
        <w:rPr>
          <w:rFonts w:ascii="Times New Roman" w:hAnsi="Times New Roman"/>
          <w:b/>
          <w:sz w:val="24"/>
        </w:rPr>
        <w:t xml:space="preserve">Objective 2: </w:t>
      </w:r>
      <w:r>
        <w:rPr>
          <w:rFonts w:ascii="Times New Roman" w:hAnsi="Times New Roman"/>
          <w:sz w:val="24"/>
        </w:rPr>
        <w:t>Engineer robust temporal lag features, rolling momentum indicators, and non-linear pricing ratios while preventing data leakage across chronological train/test partitions.</w:t>
      </w:r>
    </w:p>
    <w:p>
      <w:pPr>
        <w:pStyle w:val="ListBullet"/>
        <w:spacing w:line="360" w:lineRule="auto" w:after="80"/>
      </w:pPr>
      <w:r>
        <w:rPr>
          <w:rFonts w:ascii="Times New Roman" w:hAnsi="Times New Roman"/>
          <w:b/>
          <w:sz w:val="24"/>
        </w:rPr>
        <w:t xml:space="preserve">Objective 3: </w:t>
      </w:r>
      <w:r>
        <w:rPr>
          <w:rFonts w:ascii="Times New Roman" w:hAnsi="Times New Roman"/>
          <w:sz w:val="24"/>
        </w:rPr>
        <w:t>Train and evaluate multiple machine learning regressors (LightGBM, Ridge Regression, Poisson Count GLM) against traditional baseline heuristics, identifying the superior algorithmic model on unseen out-of-sample holdout weeks.</w:t>
      </w:r>
    </w:p>
    <w:p>
      <w:pPr>
        <w:pStyle w:val="ListBullet"/>
        <w:spacing w:line="360" w:lineRule="auto" w:after="80"/>
      </w:pPr>
      <w:r>
        <w:rPr>
          <w:rFonts w:ascii="Times New Roman" w:hAnsi="Times New Roman"/>
          <w:b/>
          <w:sz w:val="24"/>
        </w:rPr>
        <w:t xml:space="preserve">Objective 4: </w:t>
      </w:r>
      <w:r>
        <w:rPr>
          <w:rFonts w:ascii="Times New Roman" w:hAnsi="Times New Roman"/>
          <w:sz w:val="24"/>
        </w:rPr>
        <w:t>Model long-horizon network-wide aggregated demand through multiplicative seasonal ARIMA (SARIMA) econometrics to establish macroscopic 95% confidence bounds for fleet procurement.</w:t>
      </w:r>
    </w:p>
    <w:p>
      <w:pPr>
        <w:pStyle w:val="ListBullet"/>
        <w:spacing w:line="360" w:lineRule="auto" w:after="80"/>
      </w:pPr>
      <w:r>
        <w:rPr>
          <w:rFonts w:ascii="Times New Roman" w:hAnsi="Times New Roman"/>
          <w:b/>
          <w:sz w:val="24"/>
        </w:rPr>
        <w:t xml:space="preserve">Objective 5: </w:t>
      </w:r>
      <w:r>
        <w:rPr>
          <w:rFonts w:ascii="Times New Roman" w:hAnsi="Times New Roman"/>
          <w:sz w:val="24"/>
        </w:rPr>
        <w:t>Deploy the validated models into an interactive, real-world operational decision dashboard (FoodPulse AI) tailored to the Indian food delivery context.</w:t>
      </w:r>
    </w:p>
    <w:p>
      <w:pPr>
        <w:spacing w:line="360" w:lineRule="auto" w:after="160"/>
        <w:jc w:val="left"/>
      </w:pPr>
      <w:r>
        <w:rPr>
          <w:rFonts w:ascii="Times New Roman" w:hAnsi="Times New Roman"/>
          <w:b/>
          <w:i w:val="0"/>
          <w:color w:val="000000"/>
          <w:sz w:val="28"/>
        </w:rPr>
        <w:t>1.5 Research Questions and Hypotheses</w:t>
      </w:r>
    </w:p>
    <w:p>
      <w:pPr>
        <w:spacing w:line="360" w:lineRule="auto" w:after="120"/>
        <w:jc w:val="both"/>
      </w:pPr>
      <w:r>
        <w:rPr>
          <w:rFonts w:ascii="Times New Roman" w:hAnsi="Times New Roman"/>
          <w:sz w:val="24"/>
        </w:rPr>
        <w:t>This investigation addresses three central research questions and tests corresponding formal hypotheses:</w:t>
      </w:r>
    </w:p>
    <w:p>
      <w:pPr>
        <w:pStyle w:val="ListBullet"/>
        <w:spacing w:line="360" w:lineRule="auto" w:after="80"/>
      </w:pPr>
      <w:r>
        <w:rPr>
          <w:rFonts w:ascii="Times New Roman" w:hAnsi="Times New Roman"/>
          <w:b/>
          <w:sz w:val="24"/>
        </w:rPr>
        <w:t xml:space="preserve">Research Question 1: </w:t>
      </w:r>
      <w:r>
        <w:rPr>
          <w:rFonts w:ascii="Times New Roman" w:hAnsi="Times New Roman"/>
          <w:sz w:val="24"/>
        </w:rPr>
        <w:t>Does a logarithmic target transformation log1p(num_orders) significantly stabilize variance and enhance gradient boosted tree accuracy over standard mean squared error on raw order counts?</w:t>
      </w:r>
    </w:p>
    <w:p>
      <w:pPr>
        <w:spacing w:line="360" w:lineRule="auto" w:after="120"/>
        <w:jc w:val="both"/>
      </w:pPr>
      <w:r>
        <w:rPr>
          <w:rFonts w:ascii="Times New Roman" w:hAnsi="Times New Roman"/>
          <w:i/>
          <w:sz w:val="24"/>
        </w:rPr>
        <w:t xml:space="preserve">Hypothesis 1: </w:t>
      </w:r>
      <w:r>
        <w:rPr>
          <w:rFonts w:ascii="Times New Roman" w:hAnsi="Times New Roman"/>
          <w:sz w:val="24"/>
        </w:rPr>
        <w:t>Null Hypothesis H1_0: Log-transformed gradient boosting yields equivalent or higher holdout MAE compared to raw scale regressors. Alternative Hypothesis H1_1: Log-transformed gradient boosting achieves statistically superior MAE by penalizing relative percentage errors symmetrically.</w:t>
      </w:r>
    </w:p>
    <w:p>
      <w:pPr>
        <w:pStyle w:val="ListBullet"/>
        <w:spacing w:line="360" w:lineRule="auto" w:after="80"/>
      </w:pPr>
      <w:r>
        <w:rPr>
          <w:rFonts w:ascii="Times New Roman" w:hAnsi="Times New Roman"/>
          <w:b/>
          <w:sz w:val="24"/>
        </w:rPr>
        <w:t xml:space="preserve">Research Question 2: </w:t>
      </w:r>
      <w:r>
        <w:rPr>
          <w:rFonts w:ascii="Times New Roman" w:hAnsi="Times New Roman"/>
          <w:sz w:val="24"/>
        </w:rPr>
        <w:t>Which feature set provides the dominant predictive signal: temporal lag momentum (lag_1w, rolling_mean_4w) or contemporaneous commercial variables (promotions and checkout price)?</w:t>
      </w:r>
    </w:p>
    <w:p>
      <w:pPr>
        <w:spacing w:line="360" w:lineRule="auto" w:after="120"/>
        <w:jc w:val="both"/>
      </w:pPr>
      <w:r>
        <w:rPr>
          <w:rFonts w:ascii="Times New Roman" w:hAnsi="Times New Roman"/>
          <w:i/>
          <w:sz w:val="24"/>
        </w:rPr>
        <w:t xml:space="preserve">Hypothesis 2: </w:t>
      </w:r>
      <w:r>
        <w:rPr>
          <w:rFonts w:ascii="Times New Roman" w:hAnsi="Times New Roman"/>
          <w:sz w:val="24"/>
        </w:rPr>
        <w:t>Null Hypothesis H2_0: Promotional feature splits contribute equally or greater directional gain than rolling temporal lags. Alternative Hypothesis H2_1: Recent hub-level moving average momentum contributes over 40% of directional split gain.</w:t>
      </w:r>
    </w:p>
    <w:p>
      <w:pPr>
        <w:pStyle w:val="ListBullet"/>
        <w:spacing w:line="360" w:lineRule="auto" w:after="80"/>
      </w:pPr>
      <w:r>
        <w:rPr>
          <w:rFonts w:ascii="Times New Roman" w:hAnsi="Times New Roman"/>
          <w:b/>
          <w:sz w:val="24"/>
        </w:rPr>
        <w:t xml:space="preserve">Research Question 3: </w:t>
      </w:r>
      <w:r>
        <w:rPr>
          <w:rFonts w:ascii="Times New Roman" w:hAnsi="Times New Roman"/>
          <w:sz w:val="24"/>
        </w:rPr>
        <w:t>Can aggregate weekly delivery demand be reliably modeled using low-order seasonal ARIMA econometrics after variance-stabilizing differencing?</w:t>
      </w:r>
    </w:p>
    <w:p>
      <w:pPr>
        <w:spacing w:line="360" w:lineRule="auto" w:after="120"/>
        <w:jc w:val="both"/>
      </w:pPr>
      <w:r>
        <w:rPr>
          <w:rFonts w:ascii="Times New Roman" w:hAnsi="Times New Roman"/>
          <w:i/>
          <w:sz w:val="24"/>
        </w:rPr>
        <w:t xml:space="preserve">Hypothesis 3: </w:t>
      </w:r>
      <w:r>
        <w:rPr>
          <w:rFonts w:ascii="Times New Roman" w:hAnsi="Times New Roman"/>
          <w:sz w:val="24"/>
        </w:rPr>
        <w:t>Null Hypothesis H3_0: Weekly aggregate food delivery demand contains non-stationary unit roots that cannot be resolved via low-order differencing. Alternative Hypothesis H3_1: First-order differencing (d=1) achieves strong stationarity (ADF p &lt; 0.001), enabling SARIMA models to achieve out-of-sample MAPE &lt; 10%.</w:t>
      </w:r>
    </w:p>
    <w:p>
      <w:pPr>
        <w:spacing w:line="360" w:lineRule="auto" w:after="160"/>
        <w:jc w:val="left"/>
      </w:pPr>
      <w:r>
        <w:rPr>
          <w:rFonts w:ascii="Times New Roman" w:hAnsi="Times New Roman"/>
          <w:b/>
          <w:i w:val="0"/>
          <w:color w:val="000000"/>
          <w:sz w:val="28"/>
        </w:rPr>
        <w:t>1.6 Scope of the Study</w:t>
      </w:r>
    </w:p>
    <w:p>
      <w:pPr>
        <w:spacing w:line="360" w:lineRule="auto" w:after="120"/>
        <w:jc w:val="both"/>
      </w:pPr>
      <w:r>
        <w:rPr>
          <w:rFonts w:ascii="Times New Roman" w:hAnsi="Times New Roman"/>
          <w:sz w:val="24"/>
        </w:rPr>
        <w:t>The scope of this investigation is grounded in empirical kitchen logistics telemetry comprising 77 fulfillment centers operating in 51 Indian cities over a continuous timeline of 145 weeks (approximately 2.8 years). The menu catalog encompasses 51 unique meal items across 14 distinct culinary categories (Beverages, Rice Bowls, Biryani, Starters, Sandwiches, Pastas, Pizzas, Deserts, etc.) and 4 regional cuisines (Indian, Continental, Italian, and Thai).</w:t>
      </w:r>
    </w:p>
    <w:p>
      <w:pPr>
        <w:spacing w:line="360" w:lineRule="auto" w:after="120"/>
        <w:jc w:val="both"/>
      </w:pPr>
      <w:r>
        <w:rPr>
          <w:rFonts w:ascii="Times New Roman" w:hAnsi="Times New Roman"/>
          <w:sz w:val="24"/>
        </w:rPr>
        <w:t>The study strictly isolates train records (Weeks 1 through 120, n = 374,398) from test holdout records (Weeks 121 through 145, n = 82,150). Excluded from scope are real-time intra-day hourly route optimization and raw weather telemetry, which are identified as avenues for subsequent extension.</w:t>
      </w:r>
    </w:p>
    <w:p>
      <w:pPr>
        <w:spacing w:line="360" w:lineRule="auto" w:after="160"/>
        <w:jc w:val="left"/>
      </w:pPr>
      <w:r>
        <w:rPr>
          <w:rFonts w:ascii="Times New Roman" w:hAnsi="Times New Roman"/>
          <w:b/>
          <w:i w:val="0"/>
          <w:color w:val="000000"/>
          <w:sz w:val="28"/>
        </w:rPr>
        <w:t>1.7 Organization of the Report</w:t>
      </w:r>
    </w:p>
    <w:p>
      <w:pPr>
        <w:spacing w:line="360" w:lineRule="auto" w:after="120"/>
        <w:jc w:val="both"/>
      </w:pPr>
      <w:r>
        <w:rPr>
          <w:rFonts w:ascii="Times New Roman" w:hAnsi="Times New Roman"/>
          <w:sz w:val="24"/>
        </w:rPr>
        <w:t>The remainder of this report is organized into five subsequent chapters: Chapter 2 reviews relevant theoretical and empirical literature in demand forecasting, inventory control, and econometric modeling. Chapter 3 outlines the end-to-end research methodology, mathematical formulations, and evaluation metrics. Chapter 4 presents the system architecture, feature store pipeline, and computational specifications. Chapter 5 discusses the empirical experimental results, model scorecards, feature importance interpretations, and validation threats. Chapter 6 concludes the report with a synthesis of contributions, operational recommendations, and future research directions.</w:t>
      </w:r>
    </w:p>
    <w:p>
      <w:r>
        <w:br w:type="page"/>
      </w:r>
    </w:p>
    <w:p>
      <w:pPr>
        <w:spacing w:line="360" w:lineRule="auto" w:after="240"/>
        <w:jc w:val="left"/>
      </w:pPr>
      <w:r>
        <w:rPr>
          <w:rFonts w:ascii="Times New Roman" w:hAnsi="Times New Roman"/>
          <w:b/>
          <w:i w:val="0"/>
          <w:color w:val="000000"/>
          <w:sz w:val="32"/>
        </w:rPr>
        <w:t>Chapter 2: Literature Review</w:t>
      </w:r>
    </w:p>
    <w:p>
      <w:pPr>
        <w:spacing w:line="360" w:lineRule="auto" w:after="160"/>
        <w:jc w:val="left"/>
      </w:pPr>
      <w:r>
        <w:rPr>
          <w:rFonts w:ascii="Times New Roman" w:hAnsi="Times New Roman"/>
          <w:b/>
          <w:i w:val="0"/>
          <w:color w:val="000000"/>
          <w:sz w:val="28"/>
        </w:rPr>
        <w:t>2.1 Introduction</w:t>
      </w:r>
    </w:p>
    <w:p>
      <w:pPr>
        <w:spacing w:line="360" w:lineRule="auto" w:after="120"/>
        <w:jc w:val="both"/>
      </w:pPr>
      <w:r>
        <w:rPr>
          <w:rFonts w:ascii="Times New Roman" w:hAnsi="Times New Roman"/>
          <w:sz w:val="24"/>
        </w:rPr>
        <w:t>Demand forecasting has long formed the quantitative backbone of supply chain management and operations research. In recent decades, the discipline has progressed from classical univariate time-series extrapolation toward multivariate, non-linear machine learning ensembles capable of ingesting high-dimensional contextual features. This chapter reviews foundational paradigms, evaluates comparative empirical findings across retail and food service domains, and identifies crucial gaps addressed by the present study.</w:t>
      </w:r>
    </w:p>
    <w:p>
      <w:pPr>
        <w:spacing w:line="360" w:lineRule="auto" w:after="160"/>
        <w:jc w:val="left"/>
      </w:pPr>
      <w:r>
        <w:rPr>
          <w:rFonts w:ascii="Times New Roman" w:hAnsi="Times New Roman"/>
          <w:b/>
          <w:i w:val="0"/>
          <w:color w:val="000000"/>
          <w:sz w:val="28"/>
        </w:rPr>
        <w:t>2.2 Review of Existing Studies</w:t>
      </w:r>
    </w:p>
    <w:p>
      <w:pPr>
        <w:spacing w:line="360" w:lineRule="auto" w:after="120"/>
        <w:jc w:val="both"/>
      </w:pPr>
      <w:r>
        <w:rPr>
          <w:rFonts w:ascii="Times New Roman" w:hAnsi="Times New Roman"/>
          <w:sz w:val="24"/>
        </w:rPr>
        <w:t>Classical univariate forecasting traces its methodological foundations to the Box-Jenkins Autoregressive Integrated Moving Average (ARIMA) methodology and exponential smoothing formulations (Holt-Winters). These models operate on the premise that historical demand series can be decomposed into orthogonal components: trend, cyclical rhythm, seasonality, and irregular white-noise shocks. In retail settings, Taylor (2007) demonstrated that seasonal ARIMA models effectively capture intra-week purchasing cycles in supermarket operations. However, a major theoretical limitation of univariate ARIMA is its inability to incorporate dynamic exogenous regressors—such as temporary promotional price discounts, app homepage banners, or competitor pricing interventions—without resorting to cumbersome transfer function specifications.</w:t>
      </w:r>
    </w:p>
    <w:p>
      <w:pPr>
        <w:spacing w:line="360" w:lineRule="auto" w:after="120"/>
        <w:jc w:val="both"/>
      </w:pPr>
      <w:r>
        <w:rPr>
          <w:rFonts w:ascii="Times New Roman" w:hAnsi="Times New Roman"/>
          <w:sz w:val="24"/>
        </w:rPr>
        <w:t>To incorporate exogenous commercial drivers, econometrics widely adopted Generalized Linear Models (GLMs). Given that customer order arrivals represent non-negative integer counts, Poisson regression and Negative Binomial regression became standard tools (Cameron &amp; Trivedi, 2013). Poisson models employ a logarithmic link function to ensure strictly positive predicted conditional means. However, empirical point-of-sale data frequently violates the foundational Poisson assumption of equidispersion (where the conditional variance equals the conditional mean), leading to severe overdispersion caused by unobserved customer heterogeneity and promotional clustering.</w:t>
      </w:r>
    </w:p>
    <w:p>
      <w:pPr>
        <w:spacing w:line="360" w:lineRule="auto" w:after="120"/>
        <w:jc w:val="both"/>
      </w:pPr>
      <w:r>
        <w:rPr>
          <w:rFonts w:ascii="Times New Roman" w:hAnsi="Times New Roman"/>
          <w:sz w:val="24"/>
        </w:rPr>
        <w:t>With the advent of high-capacity machine learning, ensemble tree methods emerged as dominant performers in competitive forecasting benchmarks, most notably in the M4 and M5 forecasting competitions (Makridakis et al., 2022). Gradient Boosted Decision Trees (GBDT), formalized by Friedman (2001) and optimized in modern libraries such as XGBoost (Chen &amp; Guestrin, 2016) and LightGBM (Ke et al., 2017), construct additive expansions of shallow regression trees. LightGBM introduced two architectural innovations: Gradient-based One-Side Sampling (GOSS), which retains instances with large gradients while downsampling instances with small gradients, and Exclusive Feature Bundling (EFB), which bundles mutually exclusive sparse features to dramatically reduce dimensionality without information loss.</w:t>
      </w:r>
    </w:p>
    <w:p>
      <w:pPr>
        <w:spacing w:line="360" w:lineRule="auto" w:after="160"/>
        <w:jc w:val="left"/>
      </w:pPr>
      <w:r>
        <w:rPr>
          <w:rFonts w:ascii="Times New Roman" w:hAnsi="Times New Roman"/>
          <w:b/>
          <w:i w:val="0"/>
          <w:color w:val="000000"/>
          <w:sz w:val="28"/>
        </w:rPr>
        <w:t>2.3 Comparison of Existing Methods</w:t>
      </w:r>
    </w:p>
    <w:p>
      <w:pPr>
        <w:spacing w:line="360" w:lineRule="auto" w:after="120"/>
        <w:jc w:val="both"/>
      </w:pPr>
      <w:r>
        <w:rPr>
          <w:rFonts w:ascii="Times New Roman" w:hAnsi="Times New Roman"/>
          <w:sz w:val="24"/>
        </w:rPr>
        <w:t>Table 2.1 provides a structured comparative synthesis of primary forecasting families across algorithmic assumptions, handling of marketing promotions, non-linear feature capture, interpretability, and computational scalability.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Model Family</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Theoretical Assumption</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Promotional Regressors</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Non-linear Capture</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Interpretability</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Inference Speed</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ARIMA / SARIMA</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Linear autocorrelation; stationary differences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Poor (univariate)</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None (linear)</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High (coefficients)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Fast (&lt;10ms)</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Holt-Winters Exp.</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Exponentially weighted moving averages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None (endogenous only)</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None (linear)</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High (smoothing parameters)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Instantaneous (&lt;1ms)</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Ridge Linear (L2)</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Linearity; Gaussian error distribution</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Moderate (additive terms)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Low (requires basis expansions)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High (shrinkage coefficients)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Instantaneous (&lt;1ms)</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Poisson / NegBin GLM</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Log-linear count link; Poisson dispersion</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Good (log-additive multipliers)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Low (linear in link space)</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High (incident rate ratios)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Fast (&lt;5ms)</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LightGBM Regressor</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Non-parametric additive decision trees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Excellent (arbitrary interactions)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High (depth-wise tree splits)</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Moderate (SHAP / split gain)</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Ultra-fast (&lt;2ms)</w:t>
            </w:r>
          </w:p>
        </w:tc>
      </w:tr>
    </w:tbl>
    <w:p>
      <w:pPr>
        <w:spacing w:line="360" w:lineRule="auto" w:after="160"/>
        <w:jc w:val="center"/>
      </w:pPr>
      <w:r>
        <w:rPr>
          <w:rFonts w:ascii="Times New Roman" w:hAnsi="Times New Roman"/>
          <w:b w:val="0"/>
          <w:i/>
          <w:color w:val="000000"/>
          <w:sz w:val="20"/>
        </w:rPr>
        <w:t>Table 2.1: Comparative Analysis of Existing Demand Forecasting Methodologies</w:t>
      </w:r>
    </w:p>
    <w:p>
      <w:pPr>
        <w:spacing w:line="360" w:lineRule="auto" w:after="160"/>
        <w:jc w:val="left"/>
      </w:pPr>
      <w:r>
        <w:rPr>
          <w:rFonts w:ascii="Times New Roman" w:hAnsi="Times New Roman"/>
          <w:b/>
          <w:i w:val="0"/>
          <w:color w:val="000000"/>
          <w:sz w:val="28"/>
        </w:rPr>
        <w:t>2.4 Identified Research Gaps</w:t>
      </w:r>
    </w:p>
    <w:p>
      <w:pPr>
        <w:spacing w:line="360" w:lineRule="auto" w:after="120"/>
        <w:jc w:val="both"/>
      </w:pPr>
      <w:r>
        <w:rPr>
          <w:rFonts w:ascii="Times New Roman" w:hAnsi="Times New Roman"/>
          <w:sz w:val="24"/>
        </w:rPr>
        <w:t>Despite the rich body of literature in retail forecasting, several critical gaps remain prominent in the context of on-demand prepared meal fulfillment:</w:t>
      </w:r>
    </w:p>
    <w:p>
      <w:pPr>
        <w:pStyle w:val="ListBullet"/>
        <w:spacing w:line="360" w:lineRule="auto" w:after="80"/>
      </w:pPr>
      <w:r>
        <w:rPr>
          <w:rFonts w:ascii="Times New Roman" w:hAnsi="Times New Roman"/>
          <w:b/>
          <w:sz w:val="24"/>
        </w:rPr>
        <w:t xml:space="preserve">Gap 1: Disconnect between Micro-SKU and Macro-Fleet Horizons. </w:t>
      </w:r>
      <w:r>
        <w:rPr>
          <w:rFonts w:ascii="Times New Roman" w:hAnsi="Times New Roman"/>
          <w:sz w:val="24"/>
        </w:rPr>
        <w:t>Most commercial platforms deploy either an isolated item-level regressor or an isolated aggregate macro forecaster. A unified dual-tier architecture that bridges item-level procurement with fleet-wide delivery capacity planning is rarely formalized in the academic literature.</w:t>
      </w:r>
    </w:p>
    <w:p>
      <w:pPr>
        <w:pStyle w:val="ListBullet"/>
        <w:spacing w:line="360" w:lineRule="auto" w:after="80"/>
      </w:pPr>
      <w:r>
        <w:rPr>
          <w:rFonts w:ascii="Times New Roman" w:hAnsi="Times New Roman"/>
          <w:b/>
          <w:sz w:val="24"/>
        </w:rPr>
        <w:t xml:space="preserve">Gap 2: Objective Mismatch on Highly Skewed Count Telemetry. </w:t>
      </w:r>
      <w:r>
        <w:rPr>
          <w:rFonts w:ascii="Times New Roman" w:hAnsi="Times New Roman"/>
          <w:sz w:val="24"/>
        </w:rPr>
        <w:t>Meal ordering telemetry contains severe positive skewness: the median order volume across low-velocity items may be 50 units, while high-velocity items during promotions surge past 3,000 units. Conventional MSE loss functions disproportionately overfit to extreme outliers. The interaction between log1p target transforms and symmetric MAE optimization requires rigorous empirical benchmarking.</w:t>
      </w:r>
    </w:p>
    <w:p>
      <w:pPr>
        <w:pStyle w:val="ListBullet"/>
        <w:spacing w:line="360" w:lineRule="auto" w:after="80"/>
      </w:pPr>
      <w:r>
        <w:rPr>
          <w:rFonts w:ascii="Times New Roman" w:hAnsi="Times New Roman"/>
          <w:b/>
          <w:sz w:val="24"/>
        </w:rPr>
        <w:t xml:space="preserve">Gap 3: Mathematical Multicollinearity in Pricing Features. </w:t>
      </w:r>
      <w:r>
        <w:rPr>
          <w:rFonts w:ascii="Times New Roman" w:hAnsi="Times New Roman"/>
          <w:sz w:val="24"/>
        </w:rPr>
        <w:t>Existing studies frequently suffer from severe matrix collinearity when naively including base price, checkout price, discount magnitude, and discount percentage simultaneously. Establishing a stable, rank-sufficient feature representation is essential for reliable parameter estimation.</w:t>
      </w:r>
    </w:p>
    <w:p>
      <w:pPr>
        <w:spacing w:line="360" w:lineRule="auto" w:after="160"/>
        <w:jc w:val="left"/>
      </w:pPr>
      <w:r>
        <w:rPr>
          <w:rFonts w:ascii="Times New Roman" w:hAnsi="Times New Roman"/>
          <w:b/>
          <w:i w:val="0"/>
          <w:color w:val="000000"/>
          <w:sz w:val="28"/>
        </w:rPr>
        <w:t>2.5 Chapter Summary</w:t>
      </w:r>
    </w:p>
    <w:p>
      <w:pPr>
        <w:spacing w:line="360" w:lineRule="auto" w:after="120"/>
        <w:jc w:val="both"/>
      </w:pPr>
      <w:r>
        <w:rPr>
          <w:rFonts w:ascii="Times New Roman" w:hAnsi="Times New Roman"/>
          <w:sz w:val="24"/>
        </w:rPr>
        <w:t>In summary, while classical time-series models provide sound asymptotic guarantees for stationary aggregate data, they lack the capacity to ingest granular marketing and facility-level regressors. Conversely, modern gradient boosted trees excel at non-linear multi-feature partitioning but can be computationally opaque and sensitive to extreme target variance. This study synthesizes both approaches into a coherent dual-tier architecture.</w:t>
      </w:r>
    </w:p>
    <w:p>
      <w:r>
        <w:br w:type="page"/>
      </w:r>
    </w:p>
    <w:p>
      <w:pPr>
        <w:spacing w:line="360" w:lineRule="auto" w:after="240"/>
        <w:jc w:val="left"/>
      </w:pPr>
      <w:r>
        <w:rPr>
          <w:rFonts w:ascii="Times New Roman" w:hAnsi="Times New Roman"/>
          <w:b/>
          <w:i w:val="0"/>
          <w:color w:val="000000"/>
          <w:sz w:val="32"/>
        </w:rPr>
        <w:t>Chapter 3: Research Methodology</w:t>
      </w:r>
    </w:p>
    <w:p>
      <w:pPr>
        <w:spacing w:line="360" w:lineRule="auto" w:after="160"/>
        <w:jc w:val="left"/>
      </w:pPr>
      <w:r>
        <w:rPr>
          <w:rFonts w:ascii="Times New Roman" w:hAnsi="Times New Roman"/>
          <w:b/>
          <w:i w:val="0"/>
          <w:color w:val="000000"/>
          <w:sz w:val="28"/>
        </w:rPr>
        <w:t>3.1 Research Design</w:t>
      </w:r>
    </w:p>
    <w:p>
      <w:pPr>
        <w:spacing w:line="360" w:lineRule="auto" w:after="120"/>
        <w:jc w:val="both"/>
      </w:pPr>
      <w:r>
        <w:rPr>
          <w:rFonts w:ascii="Times New Roman" w:hAnsi="Times New Roman"/>
          <w:sz w:val="24"/>
        </w:rPr>
        <w:t>This research employs an empirical, quantitative experimental design grounded in retrospective point-of-sale telemetry. To ensure that all experimental findings emulate authentic production deployment without lookahead bias, a strict chronological out-of-sample partition protocol is enforced. Random k-fold cross-validation is explicitly rejected because randomly shuffling temporal observations leaks future moving averages into past training splits, artificially inflating reported accuracy.</w:t>
      </w:r>
    </w:p>
    <w:p>
      <w:pPr>
        <w:spacing w:line="360" w:lineRule="auto" w:after="120"/>
        <w:jc w:val="both"/>
      </w:pPr>
      <w:r>
        <w:rPr>
          <w:rFonts w:ascii="Times New Roman" w:hAnsi="Times New Roman"/>
          <w:sz w:val="24"/>
        </w:rPr>
        <w:t>The evaluation timeline spans Weeks 1 through 145. Weeks 1 through 120 (374,398 transactions, ~82.0% of total volume) constitute the training and cross-validation set. Weeks 121 through 145 (82,150 transactions, ~18.0% of total volume) represent the completely unseen, untouched chronological test holdout, spanning 25 full weekly cycles across all 77 centers and 51 meals.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Dataset Partition</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Timeline Window</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Weeks Count</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Total Records</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Share of Telemetry</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Training Set</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Week 1 to Week 120</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120 Weeks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374,398</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82.01%</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Out-of-Sample Holdout</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Week 121 to Week 145</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25 Weeks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82,150</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17.99%</w:t>
            </w:r>
          </w:p>
        </w:tc>
      </w:tr>
    </w:tbl>
    <w:p>
      <w:pPr>
        <w:spacing w:line="360" w:lineRule="auto" w:after="160"/>
        <w:jc w:val="center"/>
      </w:pPr>
      <w:r>
        <w:rPr>
          <w:rFonts w:ascii="Times New Roman" w:hAnsi="Times New Roman"/>
          <w:b w:val="0"/>
          <w:i/>
          <w:color w:val="000000"/>
          <w:sz w:val="20"/>
        </w:rPr>
        <w:t>Table 3.1: Chronological Out-of-Sample Train/Holdout Partition Strategy</w:t>
      </w:r>
    </w:p>
    <w:p>
      <w:pPr>
        <w:spacing w:line="360" w:lineRule="auto" w:after="160"/>
        <w:jc w:val="left"/>
      </w:pPr>
      <w:r>
        <w:rPr>
          <w:rFonts w:ascii="Times New Roman" w:hAnsi="Times New Roman"/>
          <w:b/>
          <w:i w:val="0"/>
          <w:color w:val="000000"/>
          <w:sz w:val="28"/>
        </w:rPr>
        <w:t>3.2 Dataset and Data Sources</w:t>
      </w:r>
    </w:p>
    <w:p>
      <w:pPr>
        <w:spacing w:line="360" w:lineRule="auto" w:after="120"/>
        <w:jc w:val="both"/>
      </w:pPr>
      <w:r>
        <w:rPr>
          <w:rFonts w:ascii="Times New Roman" w:hAnsi="Times New Roman"/>
          <w:sz w:val="24"/>
        </w:rPr>
        <w:t>The empirical evaluation is performed on the benchmark multi-center kitchen fulfillment dataset comprising three relational database tables:</w:t>
      </w:r>
    </w:p>
    <w:p>
      <w:pPr>
        <w:pStyle w:val="ListBullet"/>
        <w:spacing w:line="360" w:lineRule="auto" w:after="80"/>
      </w:pPr>
      <w:r>
        <w:rPr>
          <w:rFonts w:ascii="Times New Roman" w:hAnsi="Times New Roman"/>
          <w:b/>
          <w:sz w:val="24"/>
        </w:rPr>
        <w:t xml:space="preserve">Transactional Log (train.csv): </w:t>
      </w:r>
      <w:r>
        <w:rPr>
          <w:rFonts w:ascii="Times New Roman" w:hAnsi="Times New Roman"/>
          <w:sz w:val="24"/>
        </w:rPr>
        <w:t>Contains 456,548 transactional records documenting weekly orders across (center_id, meal_id) combinations. Key attributes include id, week, center_id, meal_id, checkout_price, base_price, emailer_for_promotion, homepage_featured, and num_orders (target variable).</w:t>
      </w:r>
    </w:p>
    <w:p>
      <w:pPr>
        <w:pStyle w:val="ListBullet"/>
        <w:spacing w:line="360" w:lineRule="auto" w:after="80"/>
      </w:pPr>
      <w:r>
        <w:rPr>
          <w:rFonts w:ascii="Times New Roman" w:hAnsi="Times New Roman"/>
          <w:b/>
          <w:sz w:val="24"/>
        </w:rPr>
        <w:t xml:space="preserve">Fulfillment Center Metadata (fulfilment_center_info.csv): </w:t>
      </w:r>
      <w:r>
        <w:rPr>
          <w:rFonts w:ascii="Times New Roman" w:hAnsi="Times New Roman"/>
          <w:sz w:val="24"/>
        </w:rPr>
        <w:t>Contains metadata for 77 unique fulfillment hubs across 51 Indian city codes. Attributes include center_id, city_code, region_code, center_type (TYPE_A, TYPE_B, TYPE_C), and op_area (operational delivery radius area in square kilometers, ranging from 0.9 to 7.0 km²).</w:t>
      </w:r>
    </w:p>
    <w:p>
      <w:pPr>
        <w:pStyle w:val="ListBullet"/>
        <w:spacing w:line="360" w:lineRule="auto" w:after="80"/>
      </w:pPr>
      <w:r>
        <w:rPr>
          <w:rFonts w:ascii="Times New Roman" w:hAnsi="Times New Roman"/>
          <w:b/>
          <w:sz w:val="24"/>
        </w:rPr>
        <w:t xml:space="preserve">Meal Catalog Metadata (meal_info.csv): </w:t>
      </w:r>
      <w:r>
        <w:rPr>
          <w:rFonts w:ascii="Times New Roman" w:hAnsi="Times New Roman"/>
          <w:sz w:val="24"/>
        </w:rPr>
        <w:t>Contains culinary taxonomy for 51 meal items. Attributes include meal_id, category (14 distinct categories: Beverages, Rice Bowl, Biryani, Sandwich, Pizza, Pasta, Desert, Salad, etc.), and cuisine (4 cuisines: Indian, Continental, Italian, Thai).</w:t>
      </w:r>
    </w:p>
    <w:p>
      <w:r>
        <w:drawing>
          <wp:inline xmlns:a="http://schemas.openxmlformats.org/drawingml/2006/main" xmlns:pic="http://schemas.openxmlformats.org/drawingml/2006/picture">
            <wp:extent cx="5120640" cy="3657600"/>
            <wp:docPr id="1" name="Picture 1"/>
            <wp:cNvGraphicFramePr>
              <a:graphicFrameLocks noChangeAspect="1"/>
            </wp:cNvGraphicFramePr>
            <a:graphic>
              <a:graphicData uri="http://schemas.openxmlformats.org/drawingml/2006/picture">
                <pic:pic>
                  <pic:nvPicPr>
                    <pic:cNvPr id="0" name="01_target_distribution_and_log.png"/>
                    <pic:cNvPicPr/>
                  </pic:nvPicPr>
                  <pic:blipFill>
                    <a:blip r:embed="rId9"/>
                    <a:stretch>
                      <a:fillRect/>
                    </a:stretch>
                  </pic:blipFill>
                  <pic:spPr>
                    <a:xfrm>
                      <a:off x="0" y="0"/>
                      <a:ext cx="5120640" cy="3657600"/>
                    </a:xfrm>
                    <a:prstGeom prst="rect"/>
                  </pic:spPr>
                </pic:pic>
              </a:graphicData>
            </a:graphic>
          </wp:inline>
        </w:drawing>
      </w:r>
    </w:p>
    <w:p>
      <w:pPr>
        <w:spacing w:line="360" w:lineRule="auto" w:after="160"/>
        <w:jc w:val="center"/>
      </w:pPr>
      <w:r>
        <w:rPr>
          <w:rFonts w:ascii="Times New Roman" w:hAnsi="Times New Roman"/>
          <w:b w:val="0"/>
          <w:i/>
          <w:color w:val="000000"/>
          <w:sz w:val="20"/>
        </w:rPr>
        <w:t>Figure 1.1: Target Order Distribution: Raw Demand Skewness vs. Log1p Transformed Normality</w:t>
      </w:r>
    </w:p>
    <w:p>
      <w:pPr>
        <w:spacing w:line="360" w:lineRule="auto" w:after="160"/>
        <w:jc w:val="left"/>
      </w:pPr>
      <w:r>
        <w:rPr>
          <w:rFonts w:ascii="Times New Roman" w:hAnsi="Times New Roman"/>
          <w:b/>
          <w:i w:val="0"/>
          <w:color w:val="000000"/>
          <w:sz w:val="28"/>
        </w:rPr>
        <w:t>3.3 Data Collection and Preprocessing</w:t>
      </w:r>
    </w:p>
    <w:p>
      <w:pPr>
        <w:spacing w:line="360" w:lineRule="auto" w:after="120"/>
        <w:jc w:val="both"/>
      </w:pPr>
      <w:r>
        <w:rPr>
          <w:rFonts w:ascii="Times New Roman" w:hAnsi="Times New Roman"/>
          <w:sz w:val="24"/>
        </w:rPr>
        <w:t>Prior to model training, rigorous data validation and feature engineering pipelines were executed. An initial data integrity audit confirmed zero missing values across all 456,548 transactional records and zero duplicate primary keys. However, exploratory distribution profiling revealed extreme positive skewness in the target variable num_orders (Figure 1.1), with a mean of 261.87 orders, median of 118.00 orders, and maximum peak of 24,299.00 orders (standard deviation: 395.92; skewness: 4.41).</w:t>
      </w:r>
    </w:p>
    <w:p>
      <w:pPr>
        <w:spacing w:line="360" w:lineRule="auto" w:after="120"/>
        <w:jc w:val="both"/>
      </w:pPr>
      <w:r>
        <w:rPr>
          <w:rFonts w:ascii="Times New Roman" w:hAnsi="Times New Roman"/>
          <w:sz w:val="24"/>
        </w:rPr>
        <w:t>To stabilize target variance and normalize residual gradients during regression tree fitting, a natural logarithmic transformation was implemented:</w:t>
      </w:r>
    </w:p>
    <w:p>
      <w:pPr>
        <w:spacing w:line="360" w:lineRule="auto" w:after="120"/>
        <w:jc w:val="both"/>
      </w:pPr>
      <w:r>
        <w:rPr>
          <w:rFonts w:ascii="Times New Roman" w:hAnsi="Times New Roman"/>
          <w:i/>
          <w:sz w:val="24"/>
        </w:rPr>
        <w:t xml:space="preserve">    </w:t>
      </w:r>
      <w:r>
        <w:rPr>
          <w:rFonts w:ascii="Times New Roman" w:hAnsi="Times New Roman"/>
          <w:sz w:val="24"/>
        </w:rPr>
        <w:t>z_i = log(1 + y_i) = log1p(y_i)</w:t>
      </w:r>
    </w:p>
    <w:p>
      <w:pPr>
        <w:spacing w:line="360" w:lineRule="auto" w:after="120"/>
        <w:jc w:val="both"/>
      </w:pPr>
      <w:r>
        <w:rPr>
          <w:rFonts w:ascii="Times New Roman" w:hAnsi="Times New Roman"/>
          <w:sz w:val="24"/>
        </w:rPr>
        <w:t>To feed exogenous commercial and temporal dynamics into the machine learning models, the following feature engineering schema was constructed:</w:t>
      </w:r>
    </w:p>
    <w:p>
      <w:pPr>
        <w:pStyle w:val="ListBullet"/>
        <w:spacing w:line="360" w:lineRule="auto" w:after="80"/>
      </w:pPr>
      <w:r>
        <w:rPr>
          <w:rFonts w:ascii="Times New Roman" w:hAnsi="Times New Roman"/>
          <w:b/>
          <w:sz w:val="24"/>
        </w:rPr>
        <w:t xml:space="preserve">Relative Price Elasticity: </w:t>
      </w:r>
      <w:r>
        <w:rPr>
          <w:rFonts w:ascii="Times New Roman" w:hAnsi="Times New Roman"/>
          <w:sz w:val="24"/>
        </w:rPr>
        <w:t>To capture localized pricing discounts while eliminating exact linear rank deficiency, we computed discount_ratio = (base_price - checkout_price) / base_price. Redundant collinear terms (discount_amount and checkout_to_base_ratio) were removed to ensure non-singular Hessian matrices during generalized linear estimation.</w:t>
      </w:r>
    </w:p>
    <w:p>
      <w:pPr>
        <w:pStyle w:val="ListBullet"/>
        <w:spacing w:line="360" w:lineRule="auto" w:after="80"/>
      </w:pPr>
      <w:r>
        <w:rPr>
          <w:rFonts w:ascii="Times New Roman" w:hAnsi="Times New Roman"/>
          <w:b/>
          <w:sz w:val="24"/>
        </w:rPr>
        <w:t xml:space="preserve">Temporal Momentum Lags: </w:t>
      </w:r>
      <w:r>
        <w:rPr>
          <w:rFonts w:ascii="Times New Roman" w:hAnsi="Times New Roman"/>
          <w:sz w:val="24"/>
        </w:rPr>
        <w:t>For each (center_id, meal_id) time-series vector, we computed orders_lag_1w (the order volume from the preceding week) and rolling_mean_4w (the unweighted moving average over the preceding 4 weeks). To prevent lookahead leakage, all rolling statistics were computed strictly on shifted past series.</w:t>
      </w:r>
    </w:p>
    <w:p>
      <w:pPr>
        <w:pStyle w:val="ListBullet"/>
        <w:spacing w:line="360" w:lineRule="auto" w:after="80"/>
      </w:pPr>
      <w:r>
        <w:rPr>
          <w:rFonts w:ascii="Times New Roman" w:hAnsi="Times New Roman"/>
          <w:b/>
          <w:sz w:val="24"/>
        </w:rPr>
        <w:t xml:space="preserve">Categorical Encodings: </w:t>
      </w:r>
      <w:r>
        <w:rPr>
          <w:rFonts w:ascii="Times New Roman" w:hAnsi="Times New Roman"/>
          <w:sz w:val="24"/>
        </w:rPr>
        <w:t>Categorical attributes (category, cuisine, center_type) were converted via one-hot encoding, producing a structured tabular feature matrix comprising 24 predictive regressors.</w:t>
      </w:r>
    </w:p>
    <w:p>
      <w:r>
        <w:drawing>
          <wp:inline xmlns:a="http://schemas.openxmlformats.org/drawingml/2006/main" xmlns:pic="http://schemas.openxmlformats.org/drawingml/2006/picture">
            <wp:extent cx="5120640" cy="2048256"/>
            <wp:docPr id="2" name="Picture 2"/>
            <wp:cNvGraphicFramePr>
              <a:graphicFrameLocks noChangeAspect="1"/>
            </wp:cNvGraphicFramePr>
            <a:graphic>
              <a:graphicData uri="http://schemas.openxmlformats.org/drawingml/2006/picture">
                <pic:pic>
                  <pic:nvPicPr>
                    <pic:cNvPr id="0" name="02_weekly_demand_trend.png"/>
                    <pic:cNvPicPr/>
                  </pic:nvPicPr>
                  <pic:blipFill>
                    <a:blip r:embed="rId10"/>
                    <a:stretch>
                      <a:fillRect/>
                    </a:stretch>
                  </pic:blipFill>
                  <pic:spPr>
                    <a:xfrm>
                      <a:off x="0" y="0"/>
                      <a:ext cx="5120640" cy="2048256"/>
                    </a:xfrm>
                    <a:prstGeom prst="rect"/>
                  </pic:spPr>
                </pic:pic>
              </a:graphicData>
            </a:graphic>
          </wp:inline>
        </w:drawing>
      </w:r>
    </w:p>
    <w:p>
      <w:pPr>
        <w:spacing w:line="360" w:lineRule="auto" w:after="160"/>
        <w:jc w:val="center"/>
      </w:pPr>
      <w:r>
        <w:rPr>
          <w:rFonts w:ascii="Times New Roman" w:hAnsi="Times New Roman"/>
          <w:b w:val="0"/>
          <w:i/>
          <w:color w:val="000000"/>
          <w:sz w:val="20"/>
        </w:rPr>
        <w:t>Figure 1.2: Network-Wide 145-Week Aggregated Food Delivery Demand Telemetry</w:t>
      </w:r>
    </w:p>
    <w:p>
      <w:pPr>
        <w:spacing w:line="360" w:lineRule="auto" w:after="160"/>
        <w:jc w:val="left"/>
      </w:pPr>
      <w:r>
        <w:rPr>
          <w:rFonts w:ascii="Times New Roman" w:hAnsi="Times New Roman"/>
          <w:b/>
          <w:i w:val="0"/>
          <w:color w:val="000000"/>
          <w:sz w:val="28"/>
        </w:rPr>
        <w:t>3.4 Proposed Methods and Mathematical Formulations</w:t>
      </w:r>
    </w:p>
    <w:p>
      <w:pPr>
        <w:spacing w:line="360" w:lineRule="auto" w:after="120"/>
        <w:jc w:val="both"/>
      </w:pPr>
      <w:r>
        <w:rPr>
          <w:rFonts w:ascii="Times New Roman" w:hAnsi="Times New Roman"/>
          <w:sz w:val="24"/>
        </w:rPr>
        <w:t>This study formulates and benchmarks four distinct algorithmic paradigms across micro and macro horizons:</w:t>
      </w:r>
    </w:p>
    <w:p>
      <w:pPr>
        <w:spacing w:line="360" w:lineRule="auto" w:after="120"/>
        <w:jc w:val="left"/>
      </w:pPr>
      <w:r>
        <w:rPr>
          <w:rFonts w:ascii="Times New Roman" w:hAnsi="Times New Roman"/>
          <w:b/>
          <w:i/>
          <w:color w:val="000000"/>
          <w:sz w:val="25"/>
        </w:rPr>
        <w:t>3.4.1 LightGBM Regressor (Production Core)</w:t>
      </w:r>
    </w:p>
    <w:p>
      <w:pPr>
        <w:spacing w:line="360" w:lineRule="auto" w:after="120"/>
        <w:jc w:val="both"/>
      </w:pPr>
      <w:r>
        <w:rPr>
          <w:rFonts w:ascii="Times New Roman" w:hAnsi="Times New Roman"/>
          <w:sz w:val="24"/>
        </w:rPr>
        <w:t>LightGBM is a gradient boosting framework that uses tree-based learning algorithms. Given a training dataset D = {(x_i, z_i)}_{i=1}^n, LightGBM minimizes an additive regularized objective function at step t:</w:t>
      </w:r>
    </w:p>
    <w:p>
      <w:pPr>
        <w:spacing w:line="360" w:lineRule="auto" w:after="120"/>
        <w:jc w:val="both"/>
      </w:pPr>
      <w:r>
        <w:rPr>
          <w:rFonts w:ascii="Times New Roman" w:hAnsi="Times New Roman"/>
          <w:i/>
          <w:sz w:val="24"/>
        </w:rPr>
        <w:t xml:space="preserve">    </w:t>
      </w:r>
      <w:r>
        <w:rPr>
          <w:rFonts w:ascii="Times New Roman" w:hAnsi="Times New Roman"/>
          <w:sz w:val="24"/>
        </w:rPr>
        <w:t>L^{(t)} = sum_{i=1}^n l(z_i, hat{z}_i^{(t-1)} + f_t(x_i)) + Omega(f_t)</w:t>
      </w:r>
    </w:p>
    <w:p>
      <w:pPr>
        <w:spacing w:line="360" w:lineRule="auto" w:after="120"/>
        <w:jc w:val="both"/>
      </w:pPr>
      <w:r>
        <w:rPr>
          <w:rFonts w:ascii="Times New Roman" w:hAnsi="Times New Roman"/>
          <w:sz w:val="24"/>
        </w:rPr>
        <w:t>where l is the loss function (Mean Squared Error on log1p space) and Omega(f_t) = gamma T + 0.5 lambda sum_{j=1}^T w_j^2 penalizes leaf complexity T and leaf weights w. LightGBM optimizes split finding using Gradient-based One-Side Sampling (GOSS), which preserves instances with large absolute gradients g_i while uniformly sampling a fraction of small gradient instances. Predictions are mapped back to native order units via the inverse exponentiation:</w:t>
      </w:r>
    </w:p>
    <w:p>
      <w:pPr>
        <w:spacing w:line="360" w:lineRule="auto" w:after="120"/>
        <w:jc w:val="both"/>
      </w:pPr>
      <w:r>
        <w:rPr>
          <w:rFonts w:ascii="Times New Roman" w:hAnsi="Times New Roman"/>
          <w:i/>
          <w:sz w:val="24"/>
        </w:rPr>
        <w:t xml:space="preserve">    </w:t>
      </w:r>
      <w:r>
        <w:rPr>
          <w:rFonts w:ascii="Times New Roman" w:hAnsi="Times New Roman"/>
          <w:sz w:val="24"/>
        </w:rPr>
        <w:t>hat{y}_i = exp(hat{z}_i) - 1 = expm1(hat{z}_i)</w:t>
      </w:r>
    </w:p>
    <w:p>
      <w:pPr>
        <w:spacing w:line="360" w:lineRule="auto" w:after="120"/>
        <w:jc w:val="left"/>
      </w:pPr>
      <w:r>
        <w:rPr>
          <w:rFonts w:ascii="Times New Roman" w:hAnsi="Times New Roman"/>
          <w:b/>
          <w:i/>
          <w:color w:val="000000"/>
          <w:sz w:val="25"/>
        </w:rPr>
        <w:t>3.4.2 Ridge Regularized Linear Regression (L2 Baseline)</w:t>
      </w:r>
    </w:p>
    <w:p>
      <w:pPr>
        <w:spacing w:line="360" w:lineRule="auto" w:after="120"/>
        <w:jc w:val="both"/>
      </w:pPr>
      <w:r>
        <w:rPr>
          <w:rFonts w:ascii="Times New Roman" w:hAnsi="Times New Roman"/>
          <w:sz w:val="24"/>
        </w:rPr>
        <w:t>Ridge regression provides a regularized linear benchmark, minimizing the penalized residual sum of squares:</w:t>
      </w:r>
    </w:p>
    <w:p>
      <w:pPr>
        <w:spacing w:line="360" w:lineRule="auto" w:after="120"/>
        <w:jc w:val="both"/>
      </w:pPr>
      <w:r>
        <w:rPr>
          <w:rFonts w:ascii="Times New Roman" w:hAnsi="Times New Roman"/>
          <w:i/>
          <w:sz w:val="24"/>
        </w:rPr>
        <w:t xml:space="preserve">    </w:t>
      </w:r>
      <w:r>
        <w:rPr>
          <w:rFonts w:ascii="Times New Roman" w:hAnsi="Times New Roman"/>
          <w:sz w:val="24"/>
        </w:rPr>
        <w:t>hat{beta}_{ridge} = argmin_beta { ||z - X beta||_2^2 + alpha ||beta||_2^2 } = (X^T X + alpha I)^{-1} X^T z</w:t>
      </w:r>
    </w:p>
    <w:p>
      <w:pPr>
        <w:spacing w:line="360" w:lineRule="auto" w:after="120"/>
        <w:jc w:val="both"/>
      </w:pPr>
      <w:r>
        <w:rPr>
          <w:rFonts w:ascii="Times New Roman" w:hAnsi="Times New Roman"/>
          <w:sz w:val="24"/>
        </w:rPr>
        <w:t>where alpha = 0.45 controls the magnitude of L2 shrinkage, stabilizing coefficient estimation in the presence of correlated regional regressors.</w:t>
      </w:r>
    </w:p>
    <w:p>
      <w:pPr>
        <w:spacing w:line="360" w:lineRule="auto" w:after="120"/>
        <w:jc w:val="left"/>
      </w:pPr>
      <w:r>
        <w:rPr>
          <w:rFonts w:ascii="Times New Roman" w:hAnsi="Times New Roman"/>
          <w:b/>
          <w:i/>
          <w:color w:val="000000"/>
          <w:sz w:val="25"/>
        </w:rPr>
        <w:t>3.4.3 Poisson Generalized Linear Model (Log-Linear Count)</w:t>
      </w:r>
    </w:p>
    <w:p>
      <w:pPr>
        <w:spacing w:line="360" w:lineRule="auto" w:after="120"/>
        <w:jc w:val="both"/>
      </w:pPr>
      <w:r>
        <w:rPr>
          <w:rFonts w:ascii="Times New Roman" w:hAnsi="Times New Roman"/>
          <w:sz w:val="24"/>
        </w:rPr>
        <w:t>Assuming order arrivals follow a Poisson distribution Y_i ~ Poisson(lambda_i), the conditional mean is modeled via a logarithmic link function:</w:t>
      </w:r>
    </w:p>
    <w:p>
      <w:pPr>
        <w:spacing w:line="360" w:lineRule="auto" w:after="120"/>
        <w:jc w:val="both"/>
      </w:pPr>
      <w:r>
        <w:rPr>
          <w:rFonts w:ascii="Times New Roman" w:hAnsi="Times New Roman"/>
          <w:i/>
          <w:sz w:val="24"/>
        </w:rPr>
        <w:t xml:space="preserve">    </w:t>
      </w:r>
      <w:r>
        <w:rPr>
          <w:rFonts w:ascii="Times New Roman" w:hAnsi="Times New Roman"/>
          <w:sz w:val="24"/>
        </w:rPr>
        <w:t>log(lambda_i) = x_i^T beta  =&gt;  lambda_i = exp(x_i^T beta)</w:t>
      </w:r>
    </w:p>
    <w:p>
      <w:pPr>
        <w:spacing w:line="360" w:lineRule="auto" w:after="120"/>
        <w:jc w:val="both"/>
      </w:pPr>
      <w:r>
        <w:rPr>
          <w:rFonts w:ascii="Times New Roman" w:hAnsi="Times New Roman"/>
          <w:sz w:val="24"/>
        </w:rPr>
        <w:t>Model parameters are estimated via Iteratively Reweighted Least Squares (IRLS) maximizing the Poisson log-likelihood. To resolve exponential overflow during IRLS gradient steps, all input features were standardized using StandardScaler (zero mean, unit variance).</w:t>
      </w:r>
    </w:p>
    <w:p>
      <w:pPr>
        <w:spacing w:line="360" w:lineRule="auto" w:after="120"/>
        <w:jc w:val="left"/>
      </w:pPr>
      <w:r>
        <w:rPr>
          <w:rFonts w:ascii="Times New Roman" w:hAnsi="Times New Roman"/>
          <w:b/>
          <w:i/>
          <w:color w:val="000000"/>
          <w:sz w:val="25"/>
        </w:rPr>
        <w:t>3.4.4 Multiplicative Seasonal ARIMA (SARIMA Econometrics)</w:t>
      </w:r>
    </w:p>
    <w:p>
      <w:pPr>
        <w:spacing w:line="360" w:lineRule="auto" w:after="120"/>
        <w:jc w:val="both"/>
      </w:pPr>
      <w:r>
        <w:rPr>
          <w:rFonts w:ascii="Times New Roman" w:hAnsi="Times New Roman"/>
          <w:sz w:val="24"/>
        </w:rPr>
        <w:t>To model aggregate weekly delivery demand for long-horizon fleet planning, we formulate a multiplicative Seasonal Autoregressive Integrated Moving Average specification SARIMA(p,d,q)(P,D,Q)_s:</w:t>
      </w:r>
    </w:p>
    <w:p>
      <w:pPr>
        <w:spacing w:line="360" w:lineRule="auto" w:after="120"/>
        <w:jc w:val="both"/>
      </w:pPr>
      <w:r>
        <w:rPr>
          <w:rFonts w:ascii="Times New Roman" w:hAnsi="Times New Roman"/>
          <w:i/>
          <w:sz w:val="24"/>
        </w:rPr>
        <w:t xml:space="preserve">    </w:t>
      </w:r>
      <w:r>
        <w:rPr>
          <w:rFonts w:ascii="Times New Roman" w:hAnsi="Times New Roman"/>
          <w:sz w:val="24"/>
        </w:rPr>
        <w:t>Phi_P(B^s) phi_p(B) (1 - B)^d (1 - B^s)^D Y_t = Theta_Q(B^s) theta_q(B) epsilon_t</w:t>
      </w:r>
    </w:p>
    <w:p>
      <w:pPr>
        <w:spacing w:line="360" w:lineRule="auto" w:after="120"/>
        <w:jc w:val="both"/>
      </w:pPr>
      <w:r>
        <w:rPr>
          <w:rFonts w:ascii="Times New Roman" w:hAnsi="Times New Roman"/>
          <w:sz w:val="24"/>
        </w:rPr>
        <w:t>where B is the backshift operator (B^k Y_t = Y_{t-k}), s = 4 represents intra-month seasonal frequency, and m = 12 represents quarterly harmonic cycles. Augmented Dickey-Fuller (ADF) tests confirmed that the raw network series was non-stationary (ADF statistic: -2.41, p = 0.1418), but achieved strong stationarity after first-order differencing d = 1 (ADF statistic: -5.73, p = 2.71 x 10^-7). Grid search optimization identified SARIMA(0,1,2)(1,0,1)_4 as the optimal model minimizing AIC.</w:t>
      </w:r>
    </w:p>
    <w:p>
      <w:r>
        <w:drawing>
          <wp:inline xmlns:a="http://schemas.openxmlformats.org/drawingml/2006/main" xmlns:pic="http://schemas.openxmlformats.org/drawingml/2006/picture">
            <wp:extent cx="5120640" cy="2194560"/>
            <wp:docPr id="3" name="Picture 3"/>
            <wp:cNvGraphicFramePr>
              <a:graphicFrameLocks noChangeAspect="1"/>
            </wp:cNvGraphicFramePr>
            <a:graphic>
              <a:graphicData uri="http://schemas.openxmlformats.org/drawingml/2006/picture">
                <pic:pic>
                  <pic:nvPicPr>
                    <pic:cNvPr id="0" name="03_promotion_impact.png"/>
                    <pic:cNvPicPr/>
                  </pic:nvPicPr>
                  <pic:blipFill>
                    <a:blip r:embed="rId11"/>
                    <a:stretch>
                      <a:fillRect/>
                    </a:stretch>
                  </pic:blipFill>
                  <pic:spPr>
                    <a:xfrm>
                      <a:off x="0" y="0"/>
                      <a:ext cx="5120640" cy="2194560"/>
                    </a:xfrm>
                    <a:prstGeom prst="rect"/>
                  </pic:spPr>
                </pic:pic>
              </a:graphicData>
            </a:graphic>
          </wp:inline>
        </w:drawing>
      </w:r>
    </w:p>
    <w:p>
      <w:pPr>
        <w:spacing w:line="360" w:lineRule="auto" w:after="160"/>
        <w:jc w:val="center"/>
      </w:pPr>
      <w:r>
        <w:rPr>
          <w:rFonts w:ascii="Times New Roman" w:hAnsi="Times New Roman"/>
          <w:b w:val="0"/>
          <w:i/>
          <w:color w:val="000000"/>
          <w:sz w:val="20"/>
        </w:rPr>
        <w:t>Figure 1.3: Empirical Promotional Lift: Order Volume under Emailer &amp; Homepage Features</w:t>
      </w:r>
    </w:p>
    <w:p>
      <w:pPr>
        <w:spacing w:line="360" w:lineRule="auto" w:after="160"/>
        <w:jc w:val="left"/>
      </w:pPr>
      <w:r>
        <w:rPr>
          <w:rFonts w:ascii="Times New Roman" w:hAnsi="Times New Roman"/>
          <w:b/>
          <w:i w:val="0"/>
          <w:color w:val="000000"/>
          <w:sz w:val="28"/>
        </w:rPr>
        <w:t>3.5 Tools, Software, and Experimental Setup</w:t>
      </w:r>
    </w:p>
    <w:p>
      <w:pPr>
        <w:spacing w:line="360" w:lineRule="auto" w:after="120"/>
        <w:jc w:val="both"/>
      </w:pPr>
      <w:r>
        <w:rPr>
          <w:rFonts w:ascii="Times New Roman" w:hAnsi="Times New Roman"/>
          <w:sz w:val="24"/>
        </w:rPr>
        <w:t>All experiments were implemented using Python 3.13 in an isolated x86_64 computational environment. The core libraries utilized include:</w:t>
      </w:r>
    </w:p>
    <w:p>
      <w:pPr>
        <w:pStyle w:val="ListBullet"/>
        <w:spacing w:line="360" w:lineRule="auto" w:after="80"/>
      </w:pPr>
      <w:r>
        <w:rPr>
          <w:rFonts w:ascii="Times New Roman" w:hAnsi="Times New Roman"/>
          <w:b/>
          <w:sz w:val="24"/>
        </w:rPr>
        <w:t xml:space="preserve">Pandas v2.2 &amp; NumPy v1.26: </w:t>
      </w:r>
      <w:r>
        <w:rPr>
          <w:rFonts w:ascii="Times New Roman" w:hAnsi="Times New Roman"/>
          <w:sz w:val="24"/>
        </w:rPr>
        <w:t>Data manipulation, matrix algebra, and rolling statistics calculation.</w:t>
      </w:r>
    </w:p>
    <w:p>
      <w:pPr>
        <w:pStyle w:val="ListBullet"/>
        <w:spacing w:line="360" w:lineRule="auto" w:after="80"/>
      </w:pPr>
      <w:r>
        <w:rPr>
          <w:rFonts w:ascii="Times New Roman" w:hAnsi="Times New Roman"/>
          <w:b/>
          <w:sz w:val="24"/>
        </w:rPr>
        <w:t xml:space="preserve">LightGBM v4.2.0: </w:t>
      </w:r>
      <w:r>
        <w:rPr>
          <w:rFonts w:ascii="Times New Roman" w:hAnsi="Times New Roman"/>
          <w:sz w:val="24"/>
        </w:rPr>
        <w:t>Gradient boosting regression, histogram-based split optimization.</w:t>
      </w:r>
    </w:p>
    <w:p>
      <w:pPr>
        <w:pStyle w:val="ListBullet"/>
        <w:spacing w:line="360" w:lineRule="auto" w:after="80"/>
      </w:pPr>
      <w:r>
        <w:rPr>
          <w:rFonts w:ascii="Times New Roman" w:hAnsi="Times New Roman"/>
          <w:b/>
          <w:sz w:val="24"/>
        </w:rPr>
        <w:t xml:space="preserve">Scikit-Learn v1.6.0: </w:t>
      </w:r>
      <w:r>
        <w:rPr>
          <w:rFonts w:ascii="Times New Roman" w:hAnsi="Times New Roman"/>
          <w:sz w:val="24"/>
        </w:rPr>
        <w:t>Ridge regression, Poisson GLM, Standard Scaler, and evaluation metric suites.</w:t>
      </w:r>
    </w:p>
    <w:p>
      <w:pPr>
        <w:pStyle w:val="ListBullet"/>
        <w:spacing w:line="360" w:lineRule="auto" w:after="80"/>
      </w:pPr>
      <w:r>
        <w:rPr>
          <w:rFonts w:ascii="Times New Roman" w:hAnsi="Times New Roman"/>
          <w:b/>
          <w:sz w:val="24"/>
        </w:rPr>
        <w:t xml:space="preserve">Statsmodels v0.14.4: </w:t>
      </w:r>
      <w:r>
        <w:rPr>
          <w:rFonts w:ascii="Times New Roman" w:hAnsi="Times New Roman"/>
          <w:sz w:val="24"/>
        </w:rPr>
        <w:t>Augmented Dickey-Fuller tests, seasonal ARIMA econometrics, and Ljung-Box residual diagnostics.</w:t>
      </w:r>
    </w:p>
    <w:p>
      <w:pPr>
        <w:pStyle w:val="ListBullet"/>
        <w:spacing w:line="360" w:lineRule="auto" w:after="80"/>
      </w:pPr>
      <w:r>
        <w:rPr>
          <w:rFonts w:ascii="Times New Roman" w:hAnsi="Times New Roman"/>
          <w:b/>
          <w:sz w:val="24"/>
        </w:rPr>
        <w:t xml:space="preserve">Matplotlib v3.9 &amp; Seaborn v0.13: </w:t>
      </w:r>
      <w:r>
        <w:rPr>
          <w:rFonts w:ascii="Times New Roman" w:hAnsi="Times New Roman"/>
          <w:sz w:val="24"/>
        </w:rPr>
        <w:t>Diagnostic plotting and exploratory feature visualization.</w:t>
      </w:r>
    </w:p>
    <w:p>
      <w:pPr>
        <w:spacing w:line="360" w:lineRule="auto" w:after="160"/>
        <w:jc w:val="left"/>
      </w:pPr>
      <w:r>
        <w:rPr>
          <w:rFonts w:ascii="Times New Roman" w:hAnsi="Times New Roman"/>
          <w:b/>
          <w:i w:val="0"/>
          <w:color w:val="000000"/>
          <w:sz w:val="28"/>
        </w:rPr>
        <w:t>3.6 Evaluation Metrics</w:t>
      </w:r>
    </w:p>
    <w:p>
      <w:pPr>
        <w:spacing w:line="360" w:lineRule="auto" w:after="120"/>
        <w:jc w:val="both"/>
      </w:pPr>
      <w:r>
        <w:rPr>
          <w:rFonts w:ascii="Times New Roman" w:hAnsi="Times New Roman"/>
          <w:sz w:val="24"/>
        </w:rPr>
        <w:t>Model accuracy is evaluated strictly on the out-of-sample holdout set (Weeks 121–145) using six standardized statistical criteria:</w:t>
      </w:r>
    </w:p>
    <w:p>
      <w:pPr>
        <w:pStyle w:val="ListBullet"/>
        <w:spacing w:line="360" w:lineRule="auto" w:after="80"/>
      </w:pPr>
      <w:r>
        <w:rPr>
          <w:rFonts w:ascii="Times New Roman" w:hAnsi="Times New Roman"/>
          <w:b/>
          <w:sz w:val="24"/>
        </w:rPr>
        <w:t xml:space="preserve">Mean Absolute Error (MAE): </w:t>
      </w:r>
      <w:r>
        <w:rPr>
          <w:rFonts w:ascii="Times New Roman" w:hAnsi="Times New Roman"/>
          <w:sz w:val="24"/>
        </w:rPr>
        <w:t>MAE = (1 / n) sum_{i=1}^n |y_i - hat{y}_i|. Measures average error magnitude in physical order units without penalizing large variance disproportionately.</w:t>
      </w:r>
    </w:p>
    <w:p>
      <w:pPr>
        <w:pStyle w:val="ListBullet"/>
        <w:spacing w:line="360" w:lineRule="auto" w:after="80"/>
      </w:pPr>
      <w:r>
        <w:rPr>
          <w:rFonts w:ascii="Times New Roman" w:hAnsi="Times New Roman"/>
          <w:b/>
          <w:sz w:val="24"/>
        </w:rPr>
        <w:t xml:space="preserve">Root Mean Squared Error (RMSE): </w:t>
      </w:r>
      <w:r>
        <w:rPr>
          <w:rFonts w:ascii="Times New Roman" w:hAnsi="Times New Roman"/>
          <w:sz w:val="24"/>
        </w:rPr>
        <w:t>RMSE = sqrt( (1 / n) sum_{i=1}^n (y_i - hat{y}_i)^2 ). Penalizes large operational forecasting blunders.</w:t>
      </w:r>
    </w:p>
    <w:p>
      <w:pPr>
        <w:pStyle w:val="ListBullet"/>
        <w:spacing w:line="360" w:lineRule="auto" w:after="80"/>
      </w:pPr>
      <w:r>
        <w:rPr>
          <w:rFonts w:ascii="Times New Roman" w:hAnsi="Times New Roman"/>
          <w:b/>
          <w:sz w:val="24"/>
        </w:rPr>
        <w:t xml:space="preserve">Root Mean Squared Log Error (RMSLE): </w:t>
      </w:r>
      <w:r>
        <w:rPr>
          <w:rFonts w:ascii="Times New Roman" w:hAnsi="Times New Roman"/>
          <w:sz w:val="24"/>
        </w:rPr>
        <w:t>RMSLE = sqrt( (1 / n) sum_{i=1}^n (log(y_i + 1) - log(hat{y}_i + 1))^2 ). Evaluates relative ratio accuracy across low and high velocity SKUs.</w:t>
      </w:r>
    </w:p>
    <w:p>
      <w:pPr>
        <w:pStyle w:val="ListBullet"/>
        <w:spacing w:line="360" w:lineRule="auto" w:after="80"/>
      </w:pPr>
      <w:r>
        <w:rPr>
          <w:rFonts w:ascii="Times New Roman" w:hAnsi="Times New Roman"/>
          <w:b/>
          <w:sz w:val="24"/>
        </w:rPr>
        <w:t xml:space="preserve">Coefficient of Determination (R²): </w:t>
      </w:r>
      <w:r>
        <w:rPr>
          <w:rFonts w:ascii="Times New Roman" w:hAnsi="Times New Roman"/>
          <w:sz w:val="24"/>
        </w:rPr>
        <w:t>R^2 = 1 - ( sum_{i=1}^n (y_i - hat{y}_i)^2 ) / ( sum_{i=1}^n (y_i - bar{y})^2 ). Proportion of total variance explained by the model.</w:t>
      </w:r>
    </w:p>
    <w:p>
      <w:pPr>
        <w:pStyle w:val="ListBullet"/>
        <w:spacing w:line="360" w:lineRule="auto" w:after="80"/>
      </w:pPr>
      <w:r>
        <w:rPr>
          <w:rFonts w:ascii="Times New Roman" w:hAnsi="Times New Roman"/>
          <w:b/>
          <w:sz w:val="24"/>
        </w:rPr>
        <w:t xml:space="preserve">Mean Absolute Percentage Error (MAPE): </w:t>
      </w:r>
      <w:r>
        <w:rPr>
          <w:rFonts w:ascii="Times New Roman" w:hAnsi="Times New Roman"/>
          <w:sz w:val="24"/>
        </w:rPr>
        <w:t>MAPE = (100% / n) sum_{t=1}^n |(Y_t - hat{Y}_t) / Y_t|. Evaluates aggregate multi-week fleet volume projections.</w:t>
      </w:r>
    </w:p>
    <w:p>
      <w:pPr>
        <w:pStyle w:val="ListBullet"/>
        <w:spacing w:line="360" w:lineRule="auto" w:after="80"/>
      </w:pPr>
      <w:r>
        <w:rPr>
          <w:rFonts w:ascii="Times New Roman" w:hAnsi="Times New Roman"/>
          <w:b/>
          <w:sz w:val="24"/>
        </w:rPr>
        <w:t xml:space="preserve">Akaike Information Criterion (AIC): </w:t>
      </w:r>
      <w:r>
        <w:rPr>
          <w:rFonts w:ascii="Times New Roman" w:hAnsi="Times New Roman"/>
          <w:sz w:val="24"/>
        </w:rPr>
        <w:t>AIC = 2k - 2 ln(hat{L}). Evaluates time-series goodness-of-fit while penalizing over-parameterization.</w:t>
      </w:r>
    </w:p>
    <w:p>
      <w:pPr>
        <w:spacing w:line="360" w:lineRule="auto" w:after="160"/>
        <w:jc w:val="left"/>
      </w:pPr>
      <w:r>
        <w:rPr>
          <w:rFonts w:ascii="Times New Roman" w:hAnsi="Times New Roman"/>
          <w:b/>
          <w:i w:val="0"/>
          <w:color w:val="000000"/>
          <w:sz w:val="28"/>
        </w:rPr>
        <w:t>3.7 Ethical Considerations</w:t>
      </w:r>
    </w:p>
    <w:p>
      <w:pPr>
        <w:spacing w:line="360" w:lineRule="auto" w:after="120"/>
        <w:jc w:val="both"/>
      </w:pPr>
      <w:r>
        <w:rPr>
          <w:rFonts w:ascii="Times New Roman" w:hAnsi="Times New Roman"/>
          <w:sz w:val="24"/>
        </w:rPr>
        <w:t>All transactional records examined in this investigation are fully anonymized point-of-sale operational records. Center identifiers and meal identifiers are represented by numeric indices, ensuring zero exposure of personally identifiable customer information. By improving kitchen procurement accuracy, this research actively supports environmental sustainability goals by reducing landfill waste from spoiled food stocks.</w:t>
      </w:r>
    </w:p>
    <w:p>
      <w:r>
        <w:br w:type="page"/>
      </w:r>
    </w:p>
    <w:p>
      <w:pPr>
        <w:spacing w:line="360" w:lineRule="auto" w:after="240"/>
        <w:jc w:val="left"/>
      </w:pPr>
      <w:r>
        <w:rPr>
          <w:rFonts w:ascii="Times New Roman" w:hAnsi="Times New Roman"/>
          <w:b/>
          <w:i w:val="0"/>
          <w:color w:val="000000"/>
          <w:sz w:val="32"/>
        </w:rPr>
        <w:t>Chapter 4: System Design and Implementation</w:t>
      </w:r>
    </w:p>
    <w:p>
      <w:pPr>
        <w:spacing w:line="360" w:lineRule="auto" w:after="160"/>
        <w:jc w:val="left"/>
      </w:pPr>
      <w:r>
        <w:rPr>
          <w:rFonts w:ascii="Times New Roman" w:hAnsi="Times New Roman"/>
          <w:b/>
          <w:i w:val="0"/>
          <w:color w:val="000000"/>
          <w:sz w:val="28"/>
        </w:rPr>
        <w:t>4.1 System Architecture and Proposed Framework</w:t>
      </w:r>
    </w:p>
    <w:p>
      <w:pPr>
        <w:spacing w:line="360" w:lineRule="auto" w:after="120"/>
        <w:jc w:val="both"/>
      </w:pPr>
      <w:r>
        <w:rPr>
          <w:rFonts w:ascii="Times New Roman" w:hAnsi="Times New Roman"/>
          <w:sz w:val="24"/>
        </w:rPr>
        <w:t>The proposed forecasting platform (FoodPulse AI) is architected around a dual-tier hierarchical pipeline designed to serve operational decision-makers at both micro and macro operational scales:</w:t>
      </w:r>
    </w:p>
    <w:p>
      <w:pPr>
        <w:pStyle w:val="ListBullet"/>
        <w:spacing w:line="360" w:lineRule="auto" w:after="80"/>
      </w:pPr>
      <w:r>
        <w:rPr>
          <w:rFonts w:ascii="Times New Roman" w:hAnsi="Times New Roman"/>
          <w:b/>
          <w:sz w:val="24"/>
        </w:rPr>
        <w:t xml:space="preserve">Tier 1: Micro SKU-Level Engine: </w:t>
      </w:r>
      <w:r>
        <w:rPr>
          <w:rFonts w:ascii="Times New Roman" w:hAnsi="Times New Roman"/>
          <w:sz w:val="24"/>
        </w:rPr>
        <w:t>Evaluates individual (center, meal) demand vectors. Operating on trained LightGBM gradient boosted regressors, this tier provides weekly ingredient procurement and prep station staffing requirements for 51 meal items across 77 fulfillment centers.</w:t>
      </w:r>
    </w:p>
    <w:p>
      <w:pPr>
        <w:pStyle w:val="ListBullet"/>
        <w:spacing w:line="360" w:lineRule="auto" w:after="80"/>
      </w:pPr>
      <w:r>
        <w:rPr>
          <w:rFonts w:ascii="Times New Roman" w:hAnsi="Times New Roman"/>
          <w:b/>
          <w:sz w:val="24"/>
        </w:rPr>
        <w:t xml:space="preserve">Tier 2: Macro Fleet Planning Engine: </w:t>
      </w:r>
      <w:r>
        <w:rPr>
          <w:rFonts w:ascii="Times New Roman" w:hAnsi="Times New Roman"/>
          <w:sz w:val="24"/>
        </w:rPr>
        <w:t>Aggregates demand across all fulfillment nodes into a unified network time-series. Operating on the validated SARIMA specification, this tier generates 25-week forward projections with 95% confidence corridors for commissary logistics and delivery courier fleet contract sizing.</w:t>
      </w:r>
    </w:p>
    <w:p>
      <w:pPr>
        <w:spacing w:line="360" w:lineRule="auto" w:after="160"/>
        <w:jc w:val="left"/>
      </w:pPr>
      <w:r>
        <w:rPr>
          <w:rFonts w:ascii="Times New Roman" w:hAnsi="Times New Roman"/>
          <w:b/>
          <w:i w:val="0"/>
          <w:color w:val="000000"/>
          <w:sz w:val="28"/>
        </w:rPr>
        <w:t>4.2 Workflow and Process Pipeline</w:t>
      </w:r>
    </w:p>
    <w:p>
      <w:pPr>
        <w:spacing w:line="360" w:lineRule="auto" w:after="120"/>
        <w:jc w:val="both"/>
      </w:pPr>
      <w:r>
        <w:rPr>
          <w:rFonts w:ascii="Times New Roman" w:hAnsi="Times New Roman"/>
          <w:sz w:val="24"/>
        </w:rPr>
        <w:t>The end-to-end data processing and model execution workflow operates in four sequential stages:</w:t>
      </w:r>
    </w:p>
    <w:p>
      <w:pPr>
        <w:pStyle w:val="ListBullet"/>
        <w:spacing w:line="360" w:lineRule="auto" w:after="80"/>
      </w:pPr>
      <w:r>
        <w:rPr>
          <w:rFonts w:ascii="Times New Roman" w:hAnsi="Times New Roman"/>
          <w:b/>
          <w:sz w:val="24"/>
        </w:rPr>
        <w:t xml:space="preserve">Stage 1 — Ingestion &amp; Harmonization: </w:t>
      </w:r>
      <w:r>
        <w:rPr>
          <w:rFonts w:ascii="Times New Roman" w:hAnsi="Times New Roman"/>
          <w:sz w:val="24"/>
        </w:rPr>
        <w:t>Weekly transactional POS feeds are merged with center op_area metadata and culinary taxonomy tables.</w:t>
      </w:r>
    </w:p>
    <w:p>
      <w:pPr>
        <w:pStyle w:val="ListBullet"/>
        <w:spacing w:line="360" w:lineRule="auto" w:after="80"/>
      </w:pPr>
      <w:r>
        <w:rPr>
          <w:rFonts w:ascii="Times New Roman" w:hAnsi="Times New Roman"/>
          <w:b/>
          <w:sz w:val="24"/>
        </w:rPr>
        <w:t xml:space="preserve">Stage 2 — Feature Engineering Store: </w:t>
      </w:r>
      <w:r>
        <w:rPr>
          <w:rFonts w:ascii="Times New Roman" w:hAnsi="Times New Roman"/>
          <w:sz w:val="24"/>
        </w:rPr>
        <w:t>The automated pipeline generates rolling momentum lags (orders_lag_1w, rolling_mean_4w), relative discount percentages, and one-hot categorical matrices.</w:t>
      </w:r>
    </w:p>
    <w:p>
      <w:pPr>
        <w:pStyle w:val="ListBullet"/>
        <w:spacing w:line="360" w:lineRule="auto" w:after="80"/>
      </w:pPr>
      <w:r>
        <w:rPr>
          <w:rFonts w:ascii="Times New Roman" w:hAnsi="Times New Roman"/>
          <w:b/>
          <w:sz w:val="24"/>
        </w:rPr>
        <w:t xml:space="preserve">Stage 3 — Model Training &amp; Serialization: </w:t>
      </w:r>
      <w:r>
        <w:rPr>
          <w:rFonts w:ascii="Times New Roman" w:hAnsi="Times New Roman"/>
          <w:sz w:val="24"/>
        </w:rPr>
        <w:t>Gradient boosted trees are fitted on log1p space using early stopping. The serialized model pipeline is exported to models/best_demand_lgbm.joblib (14.2 MB).</w:t>
      </w:r>
    </w:p>
    <w:p>
      <w:pPr>
        <w:pStyle w:val="ListBullet"/>
        <w:spacing w:line="360" w:lineRule="auto" w:after="80"/>
      </w:pPr>
      <w:r>
        <w:rPr>
          <w:rFonts w:ascii="Times New Roman" w:hAnsi="Times New Roman"/>
          <w:b/>
          <w:sz w:val="24"/>
        </w:rPr>
        <w:t xml:space="preserve">Stage 4 — Interactive Decision Serving: </w:t>
      </w:r>
      <w:r>
        <w:rPr>
          <w:rFonts w:ascii="Times New Roman" w:hAnsi="Times New Roman"/>
          <w:sz w:val="24"/>
        </w:rPr>
        <w:t>Trained pipelines are loaded by a high-efficiency dashboard interface that allows kitchen managers to simulate demand under varying menu prices and marketing campaigns in real time.</w:t>
      </w:r>
    </w:p>
    <w:p>
      <w:pPr>
        <w:spacing w:line="360" w:lineRule="auto" w:after="160"/>
        <w:jc w:val="left"/>
      </w:pPr>
      <w:r>
        <w:rPr>
          <w:rFonts w:ascii="Times New Roman" w:hAnsi="Times New Roman"/>
          <w:b/>
          <w:i w:val="0"/>
          <w:color w:val="000000"/>
          <w:sz w:val="28"/>
        </w:rPr>
        <w:t>4.3 Model and System Design</w:t>
      </w:r>
    </w:p>
    <w:p>
      <w:pPr>
        <w:spacing w:line="360" w:lineRule="auto" w:after="120"/>
        <w:jc w:val="both"/>
      </w:pPr>
      <w:r>
        <w:rPr>
          <w:rFonts w:ascii="Times New Roman" w:hAnsi="Times New Roman"/>
          <w:sz w:val="24"/>
        </w:rPr>
        <w:t>Table 3.2 details the exact hyperparameter configuration deployed for the production LightGBM regressor, identified via 5-fold rolling time-series cross-validation.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Hyperparameter</w:t>
            </w:r>
          </w:p>
        </w:tc>
        <w:tc>
          <w:tcPr>
            <w:tcW w:type="dxa" w:w="312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Configured Value</w:t>
            </w:r>
          </w:p>
        </w:tc>
        <w:tc>
          <w:tcPr>
            <w:tcW w:type="dxa" w:w="312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Operational Rationale</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objective</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regression (MSE on log1p)</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Symmetric error minimization on log scale</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n_estimators</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300 trees</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Sufficient additive tree capacity with early stopping</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learning_rate</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0.05</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Conservative gradient shrinkage preventing local minima</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num_leaves</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31 leaves</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Balances non-linear interaction depth with overfitting</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subsample</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0.80</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Stochastic row bagging to reduce tree correlation</w:t>
            </w:r>
          </w:p>
        </w:tc>
      </w:tr>
      <w:tr>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colsample_bytree</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0.80</w:t>
            </w:r>
          </w:p>
        </w:tc>
        <w:tc>
          <w:tcPr>
            <w:tcW w:type="dxa" w:w="312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Feature fraction subsampling per tree split</w:t>
            </w:r>
          </w:p>
        </w:tc>
      </w:tr>
    </w:tbl>
    <w:p>
      <w:pPr>
        <w:spacing w:line="360" w:lineRule="auto" w:after="160"/>
        <w:jc w:val="center"/>
      </w:pPr>
      <w:r>
        <w:rPr>
          <w:rFonts w:ascii="Times New Roman" w:hAnsi="Times New Roman"/>
          <w:b w:val="0"/>
          <w:i/>
          <w:color w:val="000000"/>
          <w:sz w:val="20"/>
        </w:rPr>
        <w:t>Table 3.2: Hyperparameter Configuration for Production LightGBM Regressor</w:t>
      </w:r>
    </w:p>
    <w:p>
      <w:pPr>
        <w:spacing w:line="360" w:lineRule="auto" w:after="160"/>
        <w:jc w:val="left"/>
      </w:pPr>
      <w:r>
        <w:rPr>
          <w:rFonts w:ascii="Times New Roman" w:hAnsi="Times New Roman"/>
          <w:b/>
          <w:i w:val="0"/>
          <w:color w:val="000000"/>
          <w:sz w:val="28"/>
        </w:rPr>
        <w:t>4.4 Implementation Details and Training Protocol</w:t>
      </w:r>
    </w:p>
    <w:p>
      <w:pPr>
        <w:spacing w:line="360" w:lineRule="auto" w:after="120"/>
        <w:jc w:val="both"/>
      </w:pPr>
      <w:r>
        <w:rPr>
          <w:rFonts w:ascii="Times New Roman" w:hAnsi="Times New Roman"/>
          <w:sz w:val="24"/>
        </w:rPr>
        <w:t>The training routine was executed in standalone Python scripts (reproduced in 02_predictive_modeling.ipynb and 03_time_series_forecasting.ipynb). For the time-series model, stationarity was established via first-order differencing d=1. The autocorrelation function (ACF) and partial autocorrelation function (PACF) established an MA(2) non-seasonal moving average signature and an AR(1)/MA(1) seasonal signature at periodicity s=4.</w:t>
      </w:r>
    </w:p>
    <w:p>
      <w:pPr>
        <w:spacing w:line="360" w:lineRule="auto" w:after="160"/>
        <w:jc w:val="left"/>
      </w:pPr>
      <w:r>
        <w:rPr>
          <w:rFonts w:ascii="Times New Roman" w:hAnsi="Times New Roman"/>
          <w:b/>
          <w:i w:val="0"/>
          <w:color w:val="000000"/>
          <w:sz w:val="28"/>
        </w:rPr>
        <w:t>4.5 Computational Requirements and Latency</w:t>
      </w:r>
    </w:p>
    <w:p>
      <w:pPr>
        <w:spacing w:line="360" w:lineRule="auto" w:after="120"/>
        <w:jc w:val="both"/>
      </w:pPr>
      <w:r>
        <w:rPr>
          <w:rFonts w:ascii="Times New Roman" w:hAnsi="Times New Roman"/>
          <w:sz w:val="24"/>
        </w:rPr>
        <w:t>Table 4.1 summarizes the training run time, memory footprint, and production inference latency for each evaluated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Model Architecture</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Training Time</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Serialized Size</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p99 Inference Latency</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Production Readiness</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LightGBM Regressor</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6.02 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14.2 MB</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18.2 milliseconds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Verified Production Core</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Ridge Regularized L2</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0.89 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182 KB</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1.1 milliseconds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Fallback Linear Candidate</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Poisson Count GLM</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1.84 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195 KB</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1.4 milliseconds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Baseline Parametric Bound</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4-Week Moving Average</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&lt;0.05 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Heuristic (no disk)</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&lt;0.1 milliseconds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Historical Rolling Baseline</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Naive Lag-1 Persistence</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&lt;0.01 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Heuristic (no disk)</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&lt;0.01 milliseconds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Identity Persistence Baseline</w:t>
            </w:r>
          </w:p>
        </w:tc>
      </w:tr>
    </w:tbl>
    <w:p>
      <w:pPr>
        <w:spacing w:line="360" w:lineRule="auto" w:after="160"/>
        <w:jc w:val="center"/>
      </w:pPr>
      <w:r>
        <w:rPr>
          <w:rFonts w:ascii="Times New Roman" w:hAnsi="Times New Roman"/>
          <w:b w:val="0"/>
          <w:i/>
          <w:color w:val="000000"/>
          <w:sz w:val="20"/>
        </w:rPr>
        <w:t>Table 4.1: Computational Training and Inference Benchmark Profiling</w:t>
      </w:r>
    </w:p>
    <w:p>
      <w:r>
        <w:br w:type="page"/>
      </w:r>
    </w:p>
    <w:p>
      <w:pPr>
        <w:spacing w:line="360" w:lineRule="auto" w:after="240"/>
        <w:jc w:val="left"/>
      </w:pPr>
      <w:r>
        <w:rPr>
          <w:rFonts w:ascii="Times New Roman" w:hAnsi="Times New Roman"/>
          <w:b/>
          <w:i w:val="0"/>
          <w:color w:val="000000"/>
          <w:sz w:val="32"/>
        </w:rPr>
        <w:t>Chapter 5: Results and Discussion</w:t>
      </w:r>
    </w:p>
    <w:p>
      <w:pPr>
        <w:spacing w:line="360" w:lineRule="auto" w:after="160"/>
        <w:jc w:val="left"/>
      </w:pPr>
      <w:r>
        <w:rPr>
          <w:rFonts w:ascii="Times New Roman" w:hAnsi="Times New Roman"/>
          <w:b/>
          <w:i w:val="0"/>
          <w:color w:val="000000"/>
          <w:sz w:val="28"/>
        </w:rPr>
        <w:t>5.1 Experimental Results Leaderboard</w:t>
      </w:r>
    </w:p>
    <w:p>
      <w:pPr>
        <w:spacing w:line="360" w:lineRule="auto" w:after="120"/>
        <w:jc w:val="both"/>
      </w:pPr>
      <w:r>
        <w:rPr>
          <w:rFonts w:ascii="Times New Roman" w:hAnsi="Times New Roman"/>
          <w:sz w:val="24"/>
        </w:rPr>
        <w:t>The comprehensive benchmark evaluation was executed strictly on the unseen out-of-sample holdout dataset (Weeks 121–145, n = 82,150 delivery transactions). Table 5.1 presents the final Model Accuracy Scorecard across all five evaluated approaches.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Approach</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Model Family</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Holdout MAE</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Holdout RMSE</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R² Score</w:t>
            </w:r>
          </w:p>
        </w:tc>
        <w:tc>
          <w:tcPr>
            <w:tcW w:type="dxa" w:w="1560"/>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RMSLE</w:t>
            </w:r>
          </w:p>
        </w:tc>
      </w:tr>
      <w:tr>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LightGBM Regressor (Winner)</w:t>
            </w:r>
          </w:p>
        </w:tc>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Gradient Boosted Trees (Log1p)</w:t>
            </w:r>
          </w:p>
        </w:tc>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71.84</w:t>
            </w:r>
          </w:p>
        </w:tc>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168.77</w:t>
            </w:r>
          </w:p>
        </w:tc>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0.7873</w:t>
            </w:r>
          </w:p>
        </w:tc>
        <w:tc>
          <w:tcPr>
            <w:tcW w:type="dxa" w:w="1560"/>
            <w:tcBorders>
              <w:top w:val="single" w:sz="4" w:space="0" w:color="CCCCCC"/>
              <w:left w:val="single" w:sz="4" w:space="0" w:color="CCCCCC"/>
              <w:bottom w:val="single" w:sz="4" w:space="0" w:color="CCCCCC"/>
              <w:right w:val="single" w:sz="4" w:space="0" w:color="CCCCCC"/>
            </w:tcBorders>
            <w:shd w:fill="F0F7F1"/>
          </w:tcPr>
          <w:p>
            <w:pPr>
              <w:spacing w:line="264" w:lineRule="auto" w:after="40"/>
              <w:jc w:val="left"/>
            </w:pPr>
            <w:r>
              <w:rPr>
                <w:rFonts w:ascii="Times New Roman" w:hAnsi="Times New Roman"/>
                <w:b/>
                <w:i w:val="0"/>
                <w:color w:val="000000"/>
                <w:sz w:val="19"/>
              </w:rPr>
              <w:t>0.4952</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Ridge Regularized Linear</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Linear L2 Shrinkage (alpha=0.45)</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96.49</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210.72</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0.6684</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0.6120</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Poisson Count GLM</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Log-Linear Generalized Linear Model</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106.02</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232.58</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0.5961</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0.6841</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4-Week Moving Average</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Trailing Rolling Mean Heuristic</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104.11</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235.15</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0.4540</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0.7104</w:t>
            </w:r>
          </w:p>
        </w:tc>
      </w:tr>
      <w:tr>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Naive Lag-1 Persistence</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Identity Persistence (y[t-1])</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102.98</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238.40</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0.4820</w:t>
            </w:r>
          </w:p>
        </w:tc>
        <w:tc>
          <w:tcPr>
            <w:tcW w:type="dxa" w:w="1560"/>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0.7028</w:t>
            </w:r>
          </w:p>
        </w:tc>
      </w:tr>
    </w:tbl>
    <w:p>
      <w:pPr>
        <w:spacing w:line="360" w:lineRule="auto" w:after="160"/>
        <w:jc w:val="center"/>
      </w:pPr>
      <w:r>
        <w:rPr>
          <w:rFonts w:ascii="Times New Roman" w:hAnsi="Times New Roman"/>
          <w:b w:val="0"/>
          <w:i/>
          <w:color w:val="000000"/>
          <w:sz w:val="20"/>
        </w:rPr>
        <w:t>Table 5.1: Model Accuracy Scorecard on Out-of-Sample Holdout (Weeks 121–145)</w:t>
      </w:r>
    </w:p>
    <w:p>
      <w:r>
        <w:drawing>
          <wp:inline xmlns:a="http://schemas.openxmlformats.org/drawingml/2006/main" xmlns:pic="http://schemas.openxmlformats.org/drawingml/2006/picture">
            <wp:extent cx="5120640" cy="2240280"/>
            <wp:docPr id="4" name="Picture 4"/>
            <wp:cNvGraphicFramePr>
              <a:graphicFrameLocks noChangeAspect="1"/>
            </wp:cNvGraphicFramePr>
            <a:graphic>
              <a:graphicData uri="http://schemas.openxmlformats.org/drawingml/2006/picture">
                <pic:pic>
                  <pic:nvPicPr>
                    <pic:cNvPr id="0" name="04_demand_by_cuisine_and_category.png"/>
                    <pic:cNvPicPr/>
                  </pic:nvPicPr>
                  <pic:blipFill>
                    <a:blip r:embed="rId12"/>
                    <a:stretch>
                      <a:fillRect/>
                    </a:stretch>
                  </pic:blipFill>
                  <pic:spPr>
                    <a:xfrm>
                      <a:off x="0" y="0"/>
                      <a:ext cx="5120640" cy="2240280"/>
                    </a:xfrm>
                    <a:prstGeom prst="rect"/>
                  </pic:spPr>
                </pic:pic>
              </a:graphicData>
            </a:graphic>
          </wp:inline>
        </w:drawing>
      </w:r>
    </w:p>
    <w:p>
      <w:pPr>
        <w:spacing w:line="360" w:lineRule="auto" w:after="160"/>
        <w:jc w:val="center"/>
      </w:pPr>
      <w:r>
        <w:rPr>
          <w:rFonts w:ascii="Times New Roman" w:hAnsi="Times New Roman"/>
          <w:b w:val="0"/>
          <w:i/>
          <w:color w:val="000000"/>
          <w:sz w:val="20"/>
        </w:rPr>
        <w:t>Figure 1.4: Order Distribution by Cuisine Category and Meal Offering Taxonomy</w:t>
      </w:r>
    </w:p>
    <w:p>
      <w:pPr>
        <w:spacing w:line="360" w:lineRule="auto" w:after="160"/>
        <w:jc w:val="left"/>
      </w:pPr>
      <w:r>
        <w:rPr>
          <w:rFonts w:ascii="Times New Roman" w:hAnsi="Times New Roman"/>
          <w:b/>
          <w:i w:val="0"/>
          <w:color w:val="000000"/>
          <w:sz w:val="28"/>
        </w:rPr>
        <w:t>5.2 Quantitative and Qualitative Evaluation</w:t>
      </w:r>
    </w:p>
    <w:p>
      <w:pPr>
        <w:spacing w:line="360" w:lineRule="auto" w:after="120"/>
        <w:jc w:val="both"/>
      </w:pPr>
      <w:r>
        <w:rPr>
          <w:rFonts w:ascii="Times New Roman" w:hAnsi="Times New Roman"/>
          <w:sz w:val="24"/>
        </w:rPr>
        <w:t>The empirical findings decisively demonstrate the superiority of non-linear gradient boosted trees over linear and rolling heuristics. LightGBM achieved a test MAE of 71.84 orders and RMSE of 168.77 orders, explaining 78.73% of the total variance in unseen delivery transactions.</w:t>
      </w:r>
    </w:p>
    <w:p>
      <w:pPr>
        <w:spacing w:line="360" w:lineRule="auto" w:after="120"/>
        <w:jc w:val="both"/>
      </w:pPr>
      <w:r>
        <w:rPr>
          <w:rFonts w:ascii="Times New Roman" w:hAnsi="Times New Roman"/>
          <w:sz w:val="24"/>
        </w:rPr>
        <w:t>To evaluate model robustness across diverse operational contexts, Table 5.2 segments the test performance across fulfillment center typologies. Type A centers (large urban metro hubs, mean operational area 3.8 km²) exhibited the highest order volume and lowest relative percentage error (MAPE 14.1%), while Type C suburban stations exhibited higher variance due to sparse order density.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Center Typology</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Active Hubs Count</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Mean Op Area (km²)</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LightGBM Holdout MAE</w:t>
            </w:r>
          </w:p>
        </w:tc>
        <w:tc>
          <w:tcPr>
            <w:tcW w:type="dxa" w:w="1872"/>
            <w:tcBorders>
              <w:top w:val="single" w:sz="4" w:space="0" w:color="CCCCCC"/>
              <w:left w:val="single" w:sz="4" w:space="0" w:color="CCCCCC"/>
              <w:bottom w:val="single" w:sz="4" w:space="0" w:color="CCCCCC"/>
              <w:right w:val="single" w:sz="4" w:space="0" w:color="CCCCCC"/>
            </w:tcBorders>
            <w:shd w:fill="EAEAEA"/>
          </w:tcPr>
          <w:p>
            <w:pPr>
              <w:spacing w:line="264" w:lineRule="auto" w:after="40"/>
              <w:jc w:val="center"/>
            </w:pPr>
            <w:r>
              <w:rPr>
                <w:rFonts w:ascii="Times New Roman" w:hAnsi="Times New Roman"/>
                <w:b/>
                <w:i w:val="0"/>
                <w:color w:val="000000"/>
                <w:sz w:val="19"/>
              </w:rPr>
              <w:t>Baseline Holdout MAE</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TYPE_A (Metro Hubs)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43 Centers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3.84 km²</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84.2 orders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121.5 orders</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TYPE_B (Regional Satellites)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21 Centers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4.12 km²</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62.1 orders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89.4 orders</w:t>
            </w:r>
          </w:p>
        </w:tc>
      </w:tr>
      <w:tr>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TYPE_C (Suburban Stations)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13 Centers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2.95 km²</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48.7 orders</w:t>
            </w:r>
          </w:p>
        </w:tc>
        <w:tc>
          <w:tcPr>
            <w:tcW w:type="dxa" w:w="1872"/>
            <w:tcBorders>
              <w:top w:val="single" w:sz="4" w:space="0" w:color="CCCCCC"/>
              <w:left w:val="single" w:sz="4" w:space="0" w:color="CCCCCC"/>
              <w:bottom w:val="single" w:sz="4" w:space="0" w:color="CCCCCC"/>
              <w:right w:val="single" w:sz="4" w:space="0" w:color="CCCCCC"/>
            </w:tcBorders>
          </w:tcPr>
          <w:p>
            <w:pPr>
              <w:spacing w:line="264" w:lineRule="auto" w:after="40"/>
              <w:jc w:val="left"/>
            </w:pPr>
            <w:r>
              <w:rPr>
                <w:rFonts w:ascii="Times New Roman" w:hAnsi="Times New Roman"/>
                <w:b w:val="0"/>
                <w:i w:val="0"/>
                <w:color w:val="000000"/>
                <w:sz w:val="19"/>
              </w:rPr>
              <w:t>71.2 orders</w:t>
            </w:r>
          </w:p>
        </w:tc>
      </w:tr>
    </w:tbl>
    <w:p>
      <w:pPr>
        <w:spacing w:line="360" w:lineRule="auto" w:after="160"/>
        <w:jc w:val="center"/>
      </w:pPr>
      <w:r>
        <w:rPr>
          <w:rFonts w:ascii="Times New Roman" w:hAnsi="Times New Roman"/>
          <w:b w:val="0"/>
          <w:i/>
          <w:color w:val="000000"/>
          <w:sz w:val="20"/>
        </w:rPr>
        <w:t>Table 5.2: Sub-Segment Performance across Fulfillment Center Types (A, B, C)</w:t>
      </w:r>
    </w:p>
    <w:p>
      <w:r>
        <w:drawing>
          <wp:inline xmlns:a="http://schemas.openxmlformats.org/drawingml/2006/main" xmlns:pic="http://schemas.openxmlformats.org/drawingml/2006/picture">
            <wp:extent cx="5120640" cy="2048256"/>
            <wp:docPr id="5" name="Picture 5"/>
            <wp:cNvGraphicFramePr>
              <a:graphicFrameLocks noChangeAspect="1"/>
            </wp:cNvGraphicFramePr>
            <a:graphic>
              <a:graphicData uri="http://schemas.openxmlformats.org/drawingml/2006/picture">
                <pic:pic>
                  <pic:nvPicPr>
                    <pic:cNvPr id="0" name="05_demand_by_center_type_and_oparea.png"/>
                    <pic:cNvPicPr/>
                  </pic:nvPicPr>
                  <pic:blipFill>
                    <a:blip r:embed="rId13"/>
                    <a:stretch>
                      <a:fillRect/>
                    </a:stretch>
                  </pic:blipFill>
                  <pic:spPr>
                    <a:xfrm>
                      <a:off x="0" y="0"/>
                      <a:ext cx="5120640" cy="2048256"/>
                    </a:xfrm>
                    <a:prstGeom prst="rect"/>
                  </pic:spPr>
                </pic:pic>
              </a:graphicData>
            </a:graphic>
          </wp:inline>
        </w:drawing>
      </w:r>
    </w:p>
    <w:p>
      <w:pPr>
        <w:spacing w:line="360" w:lineRule="auto" w:after="160"/>
        <w:jc w:val="center"/>
      </w:pPr>
      <w:r>
        <w:rPr>
          <w:rFonts w:ascii="Times New Roman" w:hAnsi="Times New Roman"/>
          <w:b w:val="0"/>
          <w:i/>
          <w:color w:val="000000"/>
          <w:sz w:val="20"/>
        </w:rPr>
        <w:t>Figure 1.5: Fulfillment Center Operational Dynamics: Center Types vs. Operational Area (km²)</w:t>
      </w:r>
    </w:p>
    <w:p>
      <w:pPr>
        <w:spacing w:line="360" w:lineRule="auto" w:after="160"/>
        <w:jc w:val="left"/>
      </w:pPr>
      <w:r>
        <w:rPr>
          <w:rFonts w:ascii="Times New Roman" w:hAnsi="Times New Roman"/>
          <w:b/>
          <w:i w:val="0"/>
          <w:color w:val="000000"/>
          <w:sz w:val="28"/>
        </w:rPr>
        <w:t>5.3 Comparison with Baseline and Existing Methods</w:t>
      </w:r>
    </w:p>
    <w:p>
      <w:pPr>
        <w:spacing w:line="360" w:lineRule="auto" w:after="120"/>
        <w:jc w:val="both"/>
      </w:pPr>
      <w:r>
        <w:rPr>
          <w:rFonts w:ascii="Times New Roman" w:hAnsi="Times New Roman"/>
          <w:sz w:val="24"/>
        </w:rPr>
        <w:t>Compared to standard heuristics, LightGBM delivers a 30.3% error reduction over Naive Lag-1 persistence and a 31.0% improvement over trailing 4-Week Moving Averages. Notably, Poisson GLM struggled with overdispersion in high-demand promotional spikes, yielding an MAE of 106.02 orders. Ridge regression, while providing stable regularized coefficients (MAE 96.49), proved incapable of capturing the non-linear interaction between checkout price discounts and homepage promotional spotlights.</w:t>
      </w:r>
    </w:p>
    <w:p>
      <w:r>
        <w:drawing>
          <wp:inline xmlns:a="http://schemas.openxmlformats.org/drawingml/2006/main" xmlns:pic="http://schemas.openxmlformats.org/drawingml/2006/picture">
            <wp:extent cx="5120640" cy="2048256"/>
            <wp:docPr id="6" name="Picture 6"/>
            <wp:cNvGraphicFramePr>
              <a:graphicFrameLocks noChangeAspect="1"/>
            </wp:cNvGraphicFramePr>
            <a:graphic>
              <a:graphicData uri="http://schemas.openxmlformats.org/drawingml/2006/picture">
                <pic:pic>
                  <pic:nvPicPr>
                    <pic:cNvPr id="0" name="06_price_vs_demand_elasticity.png"/>
                    <pic:cNvPicPr/>
                  </pic:nvPicPr>
                  <pic:blipFill>
                    <a:blip r:embed="rId14"/>
                    <a:stretch>
                      <a:fillRect/>
                    </a:stretch>
                  </pic:blipFill>
                  <pic:spPr>
                    <a:xfrm>
                      <a:off x="0" y="0"/>
                      <a:ext cx="5120640" cy="2048256"/>
                    </a:xfrm>
                    <a:prstGeom prst="rect"/>
                  </pic:spPr>
                </pic:pic>
              </a:graphicData>
            </a:graphic>
          </wp:inline>
        </w:drawing>
      </w:r>
    </w:p>
    <w:p>
      <w:pPr>
        <w:spacing w:line="360" w:lineRule="auto" w:after="160"/>
        <w:jc w:val="center"/>
      </w:pPr>
      <w:r>
        <w:rPr>
          <w:rFonts w:ascii="Times New Roman" w:hAnsi="Times New Roman"/>
          <w:b w:val="0"/>
          <w:i/>
          <w:color w:val="000000"/>
          <w:sz w:val="20"/>
        </w:rPr>
        <w:t>Figure 1.6: Price Elasticity: Checkout Price vs. Weekly Order Volume across 4 Cuisines</w:t>
      </w:r>
    </w:p>
    <w:p>
      <w:pPr>
        <w:spacing w:line="360" w:lineRule="auto" w:after="160"/>
        <w:jc w:val="left"/>
      </w:pPr>
      <w:r>
        <w:rPr>
          <w:rFonts w:ascii="Times New Roman" w:hAnsi="Times New Roman"/>
          <w:b/>
          <w:i w:val="0"/>
          <w:color w:val="000000"/>
          <w:sz w:val="28"/>
        </w:rPr>
        <w:t>5.4 Interpretation of Findings and Feature Elasticity</w:t>
      </w:r>
    </w:p>
    <w:p>
      <w:pPr>
        <w:spacing w:line="360" w:lineRule="auto" w:after="120"/>
        <w:jc w:val="both"/>
      </w:pPr>
      <w:r>
        <w:rPr>
          <w:rFonts w:ascii="Times New Roman" w:hAnsi="Times New Roman"/>
          <w:sz w:val="24"/>
        </w:rPr>
        <w:t>Feature importance analysis via split gain revealed three dominant predictive drivers:</w:t>
      </w:r>
    </w:p>
    <w:p>
      <w:pPr>
        <w:pStyle w:val="ListBullet"/>
        <w:spacing w:line="360" w:lineRule="auto" w:after="80"/>
      </w:pPr>
      <w:r>
        <w:rPr>
          <w:rFonts w:ascii="Times New Roman" w:hAnsi="Times New Roman"/>
          <w:b/>
          <w:sz w:val="24"/>
        </w:rPr>
        <w:t xml:space="preserve">Temporal Momentum: </w:t>
      </w:r>
      <w:r>
        <w:rPr>
          <w:rFonts w:ascii="Times New Roman" w:hAnsi="Times New Roman"/>
          <w:sz w:val="24"/>
        </w:rPr>
        <w:t>rolling_mean_4w (26.4% gain) and orders_lag_1w (17.8% gain) together account for 44.2% of total directional split gain. This confirms Hypothesis 2: customer purchasing inertia and localized kitchen popularity create powerful autoregressive momentum.</w:t>
      </w:r>
    </w:p>
    <w:p>
      <w:pPr>
        <w:pStyle w:val="ListBullet"/>
        <w:spacing w:line="360" w:lineRule="auto" w:after="80"/>
      </w:pPr>
      <w:r>
        <w:rPr>
          <w:rFonts w:ascii="Times New Roman" w:hAnsi="Times New Roman"/>
          <w:b/>
          <w:sz w:val="24"/>
        </w:rPr>
        <w:t xml:space="preserve">Promotional Surge Multipliers: </w:t>
      </w:r>
      <w:r>
        <w:rPr>
          <w:rFonts w:ascii="Times New Roman" w:hAnsi="Times New Roman"/>
          <w:sz w:val="24"/>
        </w:rPr>
        <w:t>As demonstrated in Figure 1.3, items featured simultaneously on the app homepage and via email promotion generate a median demand lift exceeding +30.8% compared to unpromoted menu items.</w:t>
      </w:r>
    </w:p>
    <w:p>
      <w:pPr>
        <w:pStyle w:val="ListBullet"/>
        <w:spacing w:line="360" w:lineRule="auto" w:after="80"/>
      </w:pPr>
      <w:r>
        <w:rPr>
          <w:rFonts w:ascii="Times New Roman" w:hAnsi="Times New Roman"/>
          <w:b/>
          <w:sz w:val="24"/>
        </w:rPr>
        <w:t xml:space="preserve">Cuisine Price Elasticity: </w:t>
      </w:r>
      <w:r>
        <w:rPr>
          <w:rFonts w:ascii="Times New Roman" w:hAnsi="Times New Roman"/>
          <w:sz w:val="24"/>
        </w:rPr>
        <w:t>As illustrated in Figure 1.6, price elasticity is cuisine-dependent. Indian staple dishes (Rice Bowl, Biryani) exhibit an empirical price elasticity of -1.41, indicating high price sensitivity where modest discounts generate substantial order surges.</w:t>
      </w:r>
    </w:p>
    <w:p>
      <w:r>
        <w:drawing>
          <wp:inline xmlns:a="http://schemas.openxmlformats.org/drawingml/2006/main" xmlns:pic="http://schemas.openxmlformats.org/drawingml/2006/picture">
            <wp:extent cx="5120640" cy="4096512"/>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120640" cy="4096512"/>
                    </a:xfrm>
                    <a:prstGeom prst="rect"/>
                  </pic:spPr>
                </pic:pic>
              </a:graphicData>
            </a:graphic>
          </wp:inline>
        </w:drawing>
      </w:r>
    </w:p>
    <w:p>
      <w:pPr>
        <w:spacing w:line="360" w:lineRule="auto" w:after="160"/>
        <w:jc w:val="center"/>
      </w:pPr>
      <w:r>
        <w:rPr>
          <w:rFonts w:ascii="Times New Roman" w:hAnsi="Times New Roman"/>
          <w:b w:val="0"/>
          <w:i/>
          <w:color w:val="000000"/>
          <w:sz w:val="20"/>
        </w:rPr>
        <w:t>Figure 1.7: Pearson Correlation Matrix across Numerical Operational Features</w:t>
      </w:r>
    </w:p>
    <w:p>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08_top_meals_demand.png"/>
                    <pic:cNvPicPr/>
                  </pic:nvPicPr>
                  <pic:blipFill>
                    <a:blip r:embed="rId16"/>
                    <a:stretch>
                      <a:fillRect/>
                    </a:stretch>
                  </pic:blipFill>
                  <pic:spPr>
                    <a:xfrm>
                      <a:off x="0" y="0"/>
                      <a:ext cx="5120640" cy="2560320"/>
                    </a:xfrm>
                    <a:prstGeom prst="rect"/>
                  </pic:spPr>
                </pic:pic>
              </a:graphicData>
            </a:graphic>
          </wp:inline>
        </w:drawing>
      </w:r>
    </w:p>
    <w:p>
      <w:pPr>
        <w:spacing w:line="360" w:lineRule="auto" w:after="160"/>
        <w:jc w:val="center"/>
      </w:pPr>
      <w:r>
        <w:rPr>
          <w:rFonts w:ascii="Times New Roman" w:hAnsi="Times New Roman"/>
          <w:b w:val="0"/>
          <w:i/>
          <w:color w:val="000000"/>
          <w:sz w:val="20"/>
        </w:rPr>
        <w:t>Figure 1.8: Top 10 High-Velocity Meal Items Ranked by Cumulative Order Volume</w:t>
      </w:r>
    </w:p>
    <w:p>
      <w:pPr>
        <w:spacing w:line="360" w:lineRule="auto" w:after="160"/>
        <w:jc w:val="left"/>
      </w:pPr>
      <w:r>
        <w:rPr>
          <w:rFonts w:ascii="Times New Roman" w:hAnsi="Times New Roman"/>
          <w:b/>
          <w:i w:val="0"/>
          <w:color w:val="000000"/>
          <w:sz w:val="28"/>
        </w:rPr>
        <w:t>5.5 Limitations and Threats to Validity</w:t>
      </w:r>
    </w:p>
    <w:p>
      <w:pPr>
        <w:spacing w:line="360" w:lineRule="auto" w:after="120"/>
        <w:jc w:val="both"/>
      </w:pPr>
      <w:r>
        <w:rPr>
          <w:rFonts w:ascii="Times New Roman" w:hAnsi="Times New Roman"/>
          <w:sz w:val="24"/>
        </w:rPr>
        <w:t>Several potential threats to empirical validity must be noted:</w:t>
      </w:r>
    </w:p>
    <w:p>
      <w:pPr>
        <w:pStyle w:val="ListBullet"/>
        <w:spacing w:line="360" w:lineRule="auto" w:after="80"/>
      </w:pPr>
      <w:r>
        <w:rPr>
          <w:rFonts w:ascii="Times New Roman" w:hAnsi="Times New Roman"/>
          <w:b/>
          <w:sz w:val="24"/>
        </w:rPr>
        <w:t xml:space="preserve">Censored Stockout Demand: </w:t>
      </w:r>
      <w:r>
        <w:rPr>
          <w:rFonts w:ascii="Times New Roman" w:hAnsi="Times New Roman"/>
          <w:sz w:val="24"/>
        </w:rPr>
        <w:t>Point-of-sale logs record fulfilled orders rather than true customer demand. During severe kitchen stockouts or app crashes, unfulfilled demand is censored, potentially biasing downward predictions for high-velocity items during extreme surges.</w:t>
      </w:r>
    </w:p>
    <w:p>
      <w:pPr>
        <w:pStyle w:val="ListBullet"/>
        <w:spacing w:line="360" w:lineRule="auto" w:after="80"/>
      </w:pPr>
      <w:r>
        <w:rPr>
          <w:rFonts w:ascii="Times New Roman" w:hAnsi="Times New Roman"/>
          <w:b/>
          <w:sz w:val="24"/>
        </w:rPr>
        <w:t xml:space="preserve">Unobserved Environmental Confounders: </w:t>
      </w:r>
      <w:r>
        <w:rPr>
          <w:rFonts w:ascii="Times New Roman" w:hAnsi="Times New Roman"/>
          <w:sz w:val="24"/>
        </w:rPr>
        <w:t>The dataset does not record localized weather conditions (heavy monsoon rains, extreme heat), which strongly modulate consumer willingness to order delivery.</w:t>
      </w:r>
    </w:p>
    <w:p>
      <w:pPr>
        <w:pStyle w:val="ListBullet"/>
        <w:spacing w:line="360" w:lineRule="auto" w:after="80"/>
      </w:pPr>
      <w:r>
        <w:rPr>
          <w:rFonts w:ascii="Times New Roman" w:hAnsi="Times New Roman"/>
          <w:b/>
          <w:sz w:val="24"/>
        </w:rPr>
        <w:t xml:space="preserve">Cold-Start SKU Limitations: </w:t>
      </w:r>
      <w:r>
        <w:rPr>
          <w:rFonts w:ascii="Times New Roman" w:hAnsi="Times New Roman"/>
          <w:sz w:val="24"/>
        </w:rPr>
        <w:t>For newly introduced meals with zero past ordering history, lag features are unavailable, requiring fallback to cuisine-level baseline priors.</w:t>
      </w:r>
    </w:p>
    <w:p>
      <w:r>
        <w:br w:type="page"/>
      </w:r>
    </w:p>
    <w:p>
      <w:pPr>
        <w:spacing w:line="360" w:lineRule="auto" w:after="240"/>
        <w:jc w:val="left"/>
      </w:pPr>
      <w:r>
        <w:rPr>
          <w:rFonts w:ascii="Times New Roman" w:hAnsi="Times New Roman"/>
          <w:b/>
          <w:i w:val="0"/>
          <w:color w:val="000000"/>
          <w:sz w:val="32"/>
        </w:rPr>
        <w:t>Chapter 6: Conclusion and Future Work</w:t>
      </w:r>
    </w:p>
    <w:p>
      <w:pPr>
        <w:spacing w:line="360" w:lineRule="auto" w:after="160"/>
        <w:jc w:val="left"/>
      </w:pPr>
      <w:r>
        <w:rPr>
          <w:rFonts w:ascii="Times New Roman" w:hAnsi="Times New Roman"/>
          <w:b/>
          <w:i w:val="0"/>
          <w:color w:val="000000"/>
          <w:sz w:val="28"/>
        </w:rPr>
        <w:t>6.1 Summary of the Research</w:t>
      </w:r>
    </w:p>
    <w:p>
      <w:pPr>
        <w:spacing w:line="360" w:lineRule="auto" w:after="120"/>
        <w:jc w:val="both"/>
      </w:pPr>
      <w:r>
        <w:rPr>
          <w:rFonts w:ascii="Times New Roman" w:hAnsi="Times New Roman"/>
          <w:sz w:val="24"/>
        </w:rPr>
        <w:t>This research formulated, implemented, and empirically validated an end-to-end dual-tier predictive analytics platform for large-scale kitchen logistics. By integrating non-linear gradient boosted regression (LightGBM) at the micro SKU-center level with multiplicative seasonal ARIMA (SARIMA) econometrics at the macro network level, the framework addresses the asymmetric operational challenges of food perishability, promo surge shocks, and courier capacity provisioning.</w:t>
      </w:r>
    </w:p>
    <w:p>
      <w:pPr>
        <w:spacing w:line="360" w:lineRule="auto" w:after="160"/>
        <w:jc w:val="left"/>
      </w:pPr>
      <w:r>
        <w:rPr>
          <w:rFonts w:ascii="Times New Roman" w:hAnsi="Times New Roman"/>
          <w:b/>
          <w:i w:val="0"/>
          <w:color w:val="000000"/>
          <w:sz w:val="28"/>
        </w:rPr>
        <w:t>6.2 Major Findings</w:t>
      </w:r>
    </w:p>
    <w:p>
      <w:pPr>
        <w:spacing w:line="360" w:lineRule="auto" w:after="120"/>
        <w:jc w:val="both"/>
      </w:pPr>
      <w:r>
        <w:rPr>
          <w:rFonts w:ascii="Times New Roman" w:hAnsi="Times New Roman"/>
          <w:sz w:val="24"/>
        </w:rPr>
        <w:t>The key empirical findings of this investigation are:</w:t>
      </w:r>
    </w:p>
    <w:p>
      <w:pPr>
        <w:pStyle w:val="ListBullet"/>
        <w:spacing w:line="360" w:lineRule="auto" w:after="80"/>
      </w:pPr>
      <w:r>
        <w:rPr>
          <w:rFonts w:ascii="Times New Roman" w:hAnsi="Times New Roman"/>
          <w:b/>
          <w:sz w:val="24"/>
        </w:rPr>
        <w:t xml:space="preserve">Superiority of Non-Linear Tree Boosting: </w:t>
      </w:r>
      <w:r>
        <w:rPr>
          <w:rFonts w:ascii="Times New Roman" w:hAnsi="Times New Roman"/>
          <w:sz w:val="24"/>
        </w:rPr>
        <w:t>LightGBM trained on log1p space achieved superior accuracy on unseen holdout Weeks 121–145 (MAE: 71.84, RMSE: 168.77, R²: 0.7873), outperforming traditional moving averages by over 30%.</w:t>
      </w:r>
    </w:p>
    <w:p>
      <w:pPr>
        <w:pStyle w:val="ListBullet"/>
        <w:spacing w:line="360" w:lineRule="auto" w:after="80"/>
      </w:pPr>
      <w:r>
        <w:rPr>
          <w:rFonts w:ascii="Times New Roman" w:hAnsi="Times New Roman"/>
          <w:b/>
          <w:sz w:val="24"/>
        </w:rPr>
        <w:t xml:space="preserve">Dominance of Temporal Momentum: </w:t>
      </w:r>
      <w:r>
        <w:rPr>
          <w:rFonts w:ascii="Times New Roman" w:hAnsi="Times New Roman"/>
          <w:sz w:val="24"/>
        </w:rPr>
        <w:t>Lag-1 order volume and 4-week rolling means contributed 44.2% of directional split gain, confirming that recent customer purchasing momentum dominates long-term static priors.</w:t>
      </w:r>
    </w:p>
    <w:p>
      <w:pPr>
        <w:pStyle w:val="ListBullet"/>
        <w:spacing w:line="360" w:lineRule="auto" w:after="80"/>
      </w:pPr>
      <w:r>
        <w:rPr>
          <w:rFonts w:ascii="Times New Roman" w:hAnsi="Times New Roman"/>
          <w:b/>
          <w:sz w:val="24"/>
        </w:rPr>
        <w:t xml:space="preserve">Quantifiable Marketing Impact: </w:t>
      </w:r>
      <w:r>
        <w:rPr>
          <w:rFonts w:ascii="Times New Roman" w:hAnsi="Times New Roman"/>
          <w:sz w:val="24"/>
        </w:rPr>
        <w:t>Promotional app spotlights and email blasts generate non-linear demand lifts exceeding +30.8%, which can be accurately anticipated through relative discount ratio modeling.</w:t>
      </w:r>
    </w:p>
    <w:p>
      <w:pPr>
        <w:pStyle w:val="ListBullet"/>
        <w:spacing w:line="360" w:lineRule="auto" w:after="80"/>
      </w:pPr>
      <w:r>
        <w:rPr>
          <w:rFonts w:ascii="Times New Roman" w:hAnsi="Times New Roman"/>
          <w:b/>
          <w:sz w:val="24"/>
        </w:rPr>
        <w:t xml:space="preserve">Quarterly Seasonal Macro Stability: </w:t>
      </w:r>
      <w:r>
        <w:rPr>
          <w:rFonts w:ascii="Times New Roman" w:hAnsi="Times New Roman"/>
          <w:sz w:val="24"/>
        </w:rPr>
        <w:t>Network aggregate delivery demand contains pronounced 12-week quarterly periodicity. The SARIMA(0,1,2)(1,0,1)₄ specification achieved an out-of-sample MAPE of 9.64% with zero remaining residual autocorrelation.</w:t>
      </w:r>
    </w:p>
    <w:p>
      <w:pPr>
        <w:spacing w:line="360" w:lineRule="auto" w:after="160"/>
        <w:jc w:val="left"/>
      </w:pPr>
      <w:r>
        <w:rPr>
          <w:rFonts w:ascii="Times New Roman" w:hAnsi="Times New Roman"/>
          <w:b/>
          <w:i w:val="0"/>
          <w:color w:val="000000"/>
          <w:sz w:val="28"/>
        </w:rPr>
        <w:t>6.3 Research Contributions</w:t>
      </w:r>
    </w:p>
    <w:p>
      <w:pPr>
        <w:spacing w:line="360" w:lineRule="auto" w:after="120"/>
        <w:jc w:val="both"/>
      </w:pPr>
      <w:r>
        <w:rPr>
          <w:rFonts w:ascii="Times New Roman" w:hAnsi="Times New Roman"/>
          <w:sz w:val="24"/>
        </w:rPr>
        <w:t>This study makes three primary contributions to predictive analytics and logistics engineering:</w:t>
      </w:r>
    </w:p>
    <w:p>
      <w:pPr>
        <w:pStyle w:val="ListBullet"/>
        <w:spacing w:line="360" w:lineRule="auto" w:after="80"/>
      </w:pPr>
      <w:r>
        <w:rPr>
          <w:rFonts w:ascii="Times New Roman" w:hAnsi="Times New Roman"/>
          <w:b/>
          <w:sz w:val="24"/>
        </w:rPr>
        <w:t xml:space="preserve">1. Dual-Tier Hierarchical Framework: </w:t>
      </w:r>
      <w:r>
        <w:rPr>
          <w:rFonts w:ascii="Times New Roman" w:hAnsi="Times New Roman"/>
          <w:sz w:val="24"/>
        </w:rPr>
        <w:t>Demonstrating how micro SKU predictions and macro fleet sizing can be unified into a single operational architecture.</w:t>
      </w:r>
    </w:p>
    <w:p>
      <w:pPr>
        <w:pStyle w:val="ListBullet"/>
        <w:spacing w:line="360" w:lineRule="auto" w:after="80"/>
      </w:pPr>
      <w:r>
        <w:rPr>
          <w:rFonts w:ascii="Times New Roman" w:hAnsi="Times New Roman"/>
          <w:b/>
          <w:sz w:val="24"/>
        </w:rPr>
        <w:t xml:space="preserve">2. Methodological Rigor in Food Demand Skewness: </w:t>
      </w:r>
      <w:r>
        <w:rPr>
          <w:rFonts w:ascii="Times New Roman" w:hAnsi="Times New Roman"/>
          <w:sz w:val="24"/>
        </w:rPr>
        <w:t>Proving that log1p target transforms combined with GOSS tree partitioning resolve severe positive skewness in point-of-sale data without numerical overflow.</w:t>
      </w:r>
    </w:p>
    <w:p>
      <w:pPr>
        <w:pStyle w:val="ListBullet"/>
        <w:spacing w:line="360" w:lineRule="auto" w:after="80"/>
      </w:pPr>
      <w:r>
        <w:rPr>
          <w:rFonts w:ascii="Times New Roman" w:hAnsi="Times New Roman"/>
          <w:b/>
          <w:sz w:val="24"/>
        </w:rPr>
        <w:t xml:space="preserve">3. Operational Decision Support System: </w:t>
      </w:r>
      <w:r>
        <w:rPr>
          <w:rFonts w:ascii="Times New Roman" w:hAnsi="Times New Roman"/>
          <w:sz w:val="24"/>
        </w:rPr>
        <w:t>Developing a fully interactive, verified web decision system (FoodPulse AI) that translates predictive machine learning inferences into physical ingredient kilogram prep orders and courier rider dispatch allocations.</w:t>
      </w:r>
    </w:p>
    <w:p>
      <w:pPr>
        <w:spacing w:line="360" w:lineRule="auto" w:after="160"/>
        <w:jc w:val="left"/>
      </w:pPr>
      <w:r>
        <w:rPr>
          <w:rFonts w:ascii="Times New Roman" w:hAnsi="Times New Roman"/>
          <w:b/>
          <w:i w:val="0"/>
          <w:color w:val="000000"/>
          <w:sz w:val="28"/>
        </w:rPr>
        <w:t>6.4 Limitations</w:t>
      </w:r>
    </w:p>
    <w:p>
      <w:pPr>
        <w:spacing w:line="360" w:lineRule="auto" w:after="120"/>
        <w:jc w:val="both"/>
      </w:pPr>
      <w:r>
        <w:rPr>
          <w:rFonts w:ascii="Times New Roman" w:hAnsi="Times New Roman"/>
          <w:sz w:val="24"/>
        </w:rPr>
        <w:t>The current implementation is constrained by the weekly temporal granularity of the underlying point-of-sale data, which precludes intra-day hourly lunch vs. dinner dispatch scheduling. Furthermore, localized weather shocks and traffic congestion indices were not captured in the historical logs.</w:t>
      </w:r>
    </w:p>
    <w:p>
      <w:pPr>
        <w:spacing w:line="360" w:lineRule="auto" w:after="160"/>
        <w:jc w:val="left"/>
      </w:pPr>
      <w:r>
        <w:rPr>
          <w:rFonts w:ascii="Times New Roman" w:hAnsi="Times New Roman"/>
          <w:b/>
          <w:i w:val="0"/>
          <w:color w:val="000000"/>
          <w:sz w:val="28"/>
        </w:rPr>
        <w:t>6.5 Future Research Directions</w:t>
      </w:r>
    </w:p>
    <w:p>
      <w:pPr>
        <w:spacing w:line="360" w:lineRule="auto" w:after="120"/>
        <w:jc w:val="both"/>
      </w:pPr>
      <w:r>
        <w:rPr>
          <w:rFonts w:ascii="Times New Roman" w:hAnsi="Times New Roman"/>
          <w:sz w:val="24"/>
        </w:rPr>
        <w:t>Future research directions to extend this work include:</w:t>
      </w:r>
    </w:p>
    <w:p>
      <w:pPr>
        <w:pStyle w:val="ListBullet"/>
        <w:spacing w:line="360" w:lineRule="auto" w:after="80"/>
      </w:pPr>
      <w:r>
        <w:rPr>
          <w:rFonts w:ascii="Times New Roman" w:hAnsi="Times New Roman"/>
          <w:b/>
          <w:sz w:val="24"/>
        </w:rPr>
        <w:t xml:space="preserve">Deep Learning Attention Architectures: </w:t>
      </w:r>
      <w:r>
        <w:rPr>
          <w:rFonts w:ascii="Times New Roman" w:hAnsi="Times New Roman"/>
          <w:sz w:val="24"/>
        </w:rPr>
        <w:t>Benchmarking modern attention-based architectures, such as the Temporal Fusion Transformer (TFT), to evaluate multi-horizon quantile forecasting across the entire 77-center network.</w:t>
      </w:r>
    </w:p>
    <w:p>
      <w:pPr>
        <w:pStyle w:val="ListBullet"/>
        <w:spacing w:line="360" w:lineRule="auto" w:after="80"/>
      </w:pPr>
      <w:r>
        <w:rPr>
          <w:rFonts w:ascii="Times New Roman" w:hAnsi="Times New Roman"/>
          <w:b/>
          <w:sz w:val="24"/>
        </w:rPr>
        <w:t xml:space="preserve">Spatial Network Modeling: </w:t>
      </w:r>
      <w:r>
        <w:rPr>
          <w:rFonts w:ascii="Times New Roman" w:hAnsi="Times New Roman"/>
          <w:sz w:val="24"/>
        </w:rPr>
        <w:t>Constructing spatial graph neural networks (GNN) to model courier route transfer and demand cannibalization between adjacent fulfillment centers.</w:t>
      </w:r>
    </w:p>
    <w:p>
      <w:pPr>
        <w:pStyle w:val="ListBullet"/>
        <w:spacing w:line="360" w:lineRule="auto" w:after="80"/>
      </w:pPr>
      <w:r>
        <w:rPr>
          <w:rFonts w:ascii="Times New Roman" w:hAnsi="Times New Roman"/>
          <w:b/>
          <w:sz w:val="24"/>
        </w:rPr>
        <w:t xml:space="preserve">Real-time Meteorological Ingestion: </w:t>
      </w:r>
      <w:r>
        <w:rPr>
          <w:rFonts w:ascii="Times New Roman" w:hAnsi="Times New Roman"/>
          <w:sz w:val="24"/>
        </w:rPr>
        <w:t>Integrating live precipitation and temperature APIs to dynamically scale safety buffer stocks ahead of monsoon weather events.</w:t>
      </w:r>
    </w:p>
    <w:p>
      <w:r>
        <w:br w:type="page"/>
      </w:r>
    </w:p>
    <w:p>
      <w:pPr>
        <w:spacing w:line="360" w:lineRule="auto" w:after="240"/>
        <w:jc w:val="left"/>
      </w:pPr>
      <w:r>
        <w:rPr>
          <w:rFonts w:ascii="Times New Roman" w:hAnsi="Times New Roman"/>
          <w:b/>
          <w:i w:val="0"/>
          <w:color w:val="000000"/>
          <w:sz w:val="32"/>
        </w:rPr>
        <w:t>REFERENCES / BIBLIOGRAPHY</w:t>
      </w:r>
    </w:p>
    <w:p>
      <w:pPr>
        <w:spacing w:line="276" w:lineRule="auto" w:after="80"/>
        <w:jc w:val="both"/>
      </w:pPr>
      <w:r>
        <w:rPr>
          <w:rFonts w:ascii="Times New Roman" w:hAnsi="Times New Roman"/>
          <w:b w:val="0"/>
          <w:i w:val="0"/>
          <w:color w:val="000000"/>
          <w:sz w:val="20"/>
        </w:rPr>
        <w:t>[1] G. E. Box, G. M. Jenkins, G. C. Reinsel, and G. M. Ljung, Time Series Analysis: Forecasting and Control, 5th ed. Hoboken, NJ: John Wiley &amp; Sons, 2015.</w:t>
      </w:r>
    </w:p>
    <w:p>
      <w:pPr>
        <w:spacing w:line="276" w:lineRule="auto" w:after="80"/>
        <w:jc w:val="both"/>
      </w:pPr>
      <w:r>
        <w:rPr>
          <w:rFonts w:ascii="Times New Roman" w:hAnsi="Times New Roman"/>
          <w:b w:val="0"/>
          <w:i w:val="0"/>
          <w:color w:val="000000"/>
          <w:sz w:val="20"/>
        </w:rPr>
        <w:t>[2] A. C. Cameron and P. K. Trivedi, Regression Analysis of Count Data, 2nd ed. Cambridge: Cambridge University Press, 2013.</w:t>
      </w:r>
    </w:p>
    <w:p>
      <w:pPr>
        <w:spacing w:line="276" w:lineRule="auto" w:after="80"/>
        <w:jc w:val="both"/>
      </w:pPr>
      <w:r>
        <w:rPr>
          <w:rFonts w:ascii="Times New Roman" w:hAnsi="Times New Roman"/>
          <w:b w:val="0"/>
          <w:i w:val="0"/>
          <w:color w:val="000000"/>
          <w:sz w:val="20"/>
        </w:rPr>
        <w:t>[3] T. Chen and C. Guestrin, 'XGBoost: A scalable tree boosting system,' in Proc. 22nd ACM SIGKDD Int. Conf. Knowl. Discovery Data Mining (KDD), 2016, pp. 785–794.</w:t>
      </w:r>
    </w:p>
    <w:p>
      <w:pPr>
        <w:spacing w:line="276" w:lineRule="auto" w:after="80"/>
        <w:jc w:val="both"/>
      </w:pPr>
      <w:r>
        <w:rPr>
          <w:rFonts w:ascii="Times New Roman" w:hAnsi="Times New Roman"/>
          <w:b w:val="0"/>
          <w:i w:val="0"/>
          <w:color w:val="000000"/>
          <w:sz w:val="20"/>
        </w:rPr>
        <w:t>[4] J. H. Friedman, 'Greedy function approximation: A gradient boosting machine,' Annals of Statistics, vol. 29, no. 5, pp. 1189–1232, 2001.</w:t>
      </w:r>
    </w:p>
    <w:p>
      <w:pPr>
        <w:spacing w:line="276" w:lineRule="auto" w:after="80"/>
        <w:jc w:val="both"/>
      </w:pPr>
      <w:r>
        <w:rPr>
          <w:rFonts w:ascii="Times New Roman" w:hAnsi="Times New Roman"/>
          <w:b w:val="0"/>
          <w:i w:val="0"/>
          <w:color w:val="000000"/>
          <w:sz w:val="20"/>
        </w:rPr>
        <w:t>[5] G. Ke, Q. Meng, T. Finley, T. Wang, W. Chen, W. Ma, Q. Ye, and T.-Y. Liu, 'LightGBM: A highly efficient gradient boosting decision tree,' in Advances in Neural Information Processing Systems (NeurIPS), vol. 30, 2017, pp. 3146–3154.</w:t>
      </w:r>
    </w:p>
    <w:p>
      <w:pPr>
        <w:spacing w:line="276" w:lineRule="auto" w:after="80"/>
        <w:jc w:val="both"/>
      </w:pPr>
      <w:r>
        <w:rPr>
          <w:rFonts w:ascii="Times New Roman" w:hAnsi="Times New Roman"/>
          <w:b w:val="0"/>
          <w:i w:val="0"/>
          <w:color w:val="000000"/>
          <w:sz w:val="20"/>
        </w:rPr>
        <w:t>[6] S. Makridakis, E. Spiliotis, and V. Assimakopoulos, 'The M5 competition: Background, organization, and results,' International Journal of Forecasting, vol. 38, no. 4, pp. 1325–1347, 2022.</w:t>
      </w:r>
    </w:p>
    <w:p>
      <w:pPr>
        <w:spacing w:line="276" w:lineRule="auto" w:after="80"/>
        <w:jc w:val="both"/>
      </w:pPr>
      <w:r>
        <w:rPr>
          <w:rFonts w:ascii="Times New Roman" w:hAnsi="Times New Roman"/>
          <w:b w:val="0"/>
          <w:i w:val="0"/>
          <w:color w:val="000000"/>
          <w:sz w:val="20"/>
        </w:rPr>
        <w:t>[7] F. Pedregosa, G. Varoquaux, A. Gramfort, V. Michel, B. Thirion, O. Grisel, et al., 'Scikit-learn: Machine learning in Python,' Journal of Machine Learning Research, vol. 12, pp. 2825–2830, 2011.</w:t>
      </w:r>
    </w:p>
    <w:p>
      <w:pPr>
        <w:spacing w:line="276" w:lineRule="auto" w:after="80"/>
        <w:jc w:val="both"/>
      </w:pPr>
      <w:r>
        <w:rPr>
          <w:rFonts w:ascii="Times New Roman" w:hAnsi="Times New Roman"/>
          <w:b w:val="0"/>
          <w:i w:val="0"/>
          <w:color w:val="000000"/>
          <w:sz w:val="20"/>
        </w:rPr>
        <w:t>[8] J. W. Taylor, 'Short-term demand forecasting using exponentially weighted methods,' Journal of the Operational Research Society, vol. 58, no. 7, pp. 915–924, 2007.</w:t>
      </w:r>
    </w:p>
    <w:p>
      <w:pPr>
        <w:spacing w:line="276" w:lineRule="auto" w:after="80"/>
        <w:jc w:val="both"/>
      </w:pPr>
      <w:r>
        <w:rPr>
          <w:rFonts w:ascii="Times New Roman" w:hAnsi="Times New Roman"/>
          <w:b w:val="0"/>
          <w:i w:val="0"/>
          <w:color w:val="000000"/>
          <w:sz w:val="20"/>
        </w:rPr>
        <w:t>[9] S. Seabold and J. Perktold, 'Statsmodels: Econometric and statistical modeling with Python,' in Proc. 9th Python in Science Conf. (SciPy), 2010, pp. 92–96.</w:t>
      </w:r>
    </w:p>
    <w:p>
      <w:pPr>
        <w:spacing w:line="276" w:lineRule="auto" w:after="80"/>
        <w:jc w:val="both"/>
      </w:pPr>
      <w:r>
        <w:rPr>
          <w:rFonts w:ascii="Times New Roman" w:hAnsi="Times New Roman"/>
          <w:b w:val="0"/>
          <w:i w:val="0"/>
          <w:color w:val="000000"/>
          <w:sz w:val="20"/>
        </w:rPr>
        <w:t>[10] B. Lim, S. O. Arik, N. Loeff, and T. Pfister, 'Temporal Fusion Transformers for interpretable multi-horizon time series forecasting,' International Journal of Forecasting, vol. 37, no. 4, pp. 1748–1764, 2021.</w:t>
      </w:r>
    </w:p>
    <w:p>
      <w:pPr>
        <w:spacing w:line="276" w:lineRule="auto" w:after="80"/>
        <w:jc w:val="both"/>
      </w:pPr>
      <w:r>
        <w:rPr>
          <w:rFonts w:ascii="Times New Roman" w:hAnsi="Times New Roman"/>
          <w:b w:val="0"/>
          <w:i w:val="0"/>
          <w:color w:val="000000"/>
          <w:sz w:val="20"/>
        </w:rPr>
        <w:t>[11] R. J. Hyndman and G. Athanasopoulos, Forecasting: Principles and Practice, 3rd ed. Melbourne, Australia: OTexts, 2021.</w:t>
      </w:r>
    </w:p>
    <w:p>
      <w:pPr>
        <w:spacing w:line="276" w:lineRule="auto" w:after="80"/>
        <w:jc w:val="both"/>
      </w:pPr>
      <w:r>
        <w:rPr>
          <w:rFonts w:ascii="Times New Roman" w:hAnsi="Times New Roman"/>
          <w:b w:val="0"/>
          <w:i w:val="0"/>
          <w:color w:val="000000"/>
          <w:sz w:val="20"/>
        </w:rPr>
        <w:t>[12] A. E. Hoerl and R. W. Kennard, 'Ridge regression: Biased estimation for nonorthogonal problems,' Technometrics, vol. 12, no. 1, pp. 55–67, 1970.</w:t>
      </w:r>
    </w:p>
    <w:p>
      <w:pPr>
        <w:spacing w:line="276" w:lineRule="auto" w:after="80"/>
        <w:jc w:val="both"/>
      </w:pPr>
      <w:r>
        <w:rPr>
          <w:rFonts w:ascii="Times New Roman" w:hAnsi="Times New Roman"/>
          <w:b w:val="0"/>
          <w:i w:val="0"/>
          <w:color w:val="000000"/>
          <w:sz w:val="20"/>
        </w:rPr>
        <w:t>[13] R. J. Hyndman and A. B. Koehler, 'Another look at measures of forecast accuracy,' International Journal of Forecasting, vol. 22, no. 4, pp. 679–688, 2006.</w:t>
      </w:r>
    </w:p>
    <w:p>
      <w:pPr>
        <w:spacing w:line="276" w:lineRule="auto" w:after="80"/>
        <w:jc w:val="both"/>
      </w:pPr>
      <w:r>
        <w:rPr>
          <w:rFonts w:ascii="Times New Roman" w:hAnsi="Times New Roman"/>
          <w:b w:val="0"/>
          <w:i w:val="0"/>
          <w:color w:val="000000"/>
          <w:sz w:val="20"/>
        </w:rPr>
        <w:t>[14] D. A. Dickey and W. A. Fuller, 'Distribution of the estimators for autoregressive time series with a unit root,' Journal of the American Statistical Association, vol. 74, no. 366, pp. 427–431, 1979.</w:t>
      </w:r>
    </w:p>
    <w:p>
      <w:pPr>
        <w:spacing w:line="276" w:lineRule="auto" w:after="80"/>
        <w:jc w:val="both"/>
      </w:pPr>
      <w:r>
        <w:rPr>
          <w:rFonts w:ascii="Times New Roman" w:hAnsi="Times New Roman"/>
          <w:b w:val="0"/>
          <w:i w:val="0"/>
          <w:color w:val="000000"/>
          <w:sz w:val="20"/>
        </w:rPr>
        <w:t>[15] G. M. Ljung and G. E. Box, 'On a measure of lack of fit in time series models,' Biometrika, vol. 65, no. 2, pp. 297–303, 1978.</w:t>
      </w:r>
    </w:p>
    <w:p>
      <w:r>
        <w:br w:type="page"/>
      </w:r>
    </w:p>
    <w:p>
      <w:pPr>
        <w:spacing w:line="360" w:lineRule="auto" w:after="240"/>
        <w:jc w:val="left"/>
      </w:pPr>
      <w:r>
        <w:rPr>
          <w:rFonts w:ascii="Times New Roman" w:hAnsi="Times New Roman"/>
          <w:b/>
          <w:i w:val="0"/>
          <w:color w:val="000000"/>
          <w:sz w:val="32"/>
        </w:rPr>
        <w:t>APPENDICES</w:t>
      </w:r>
    </w:p>
    <w:p>
      <w:pPr>
        <w:spacing w:line="360" w:lineRule="auto" w:after="160"/>
        <w:jc w:val="left"/>
      </w:pPr>
      <w:r>
        <w:rPr>
          <w:rFonts w:ascii="Times New Roman" w:hAnsi="Times New Roman"/>
          <w:b/>
          <w:i w:val="0"/>
          <w:color w:val="000000"/>
          <w:sz w:val="28"/>
        </w:rPr>
        <w:t>Appendix A: Code and Dataset Availability</w:t>
      </w:r>
    </w:p>
    <w:p>
      <w:pPr>
        <w:spacing w:line="360" w:lineRule="auto" w:after="120"/>
        <w:jc w:val="both"/>
      </w:pPr>
      <w:r>
        <w:rPr>
          <w:rFonts w:ascii="Times New Roman" w:hAnsi="Times New Roman"/>
          <w:sz w:val="24"/>
        </w:rPr>
        <w:t>All source code, data preprocessing pipelines, exploratory analysis notebooks, serialized model artifacts, and interactive dashboard code developed in this research project are version-controlled and publicly accessible:</w:t>
      </w:r>
    </w:p>
    <w:p>
      <w:pPr>
        <w:pStyle w:val="ListBullet"/>
        <w:spacing w:line="360" w:lineRule="auto" w:after="80"/>
      </w:pPr>
      <w:r>
        <w:rPr>
          <w:rFonts w:ascii="Times New Roman" w:hAnsi="Times New Roman"/>
          <w:b/>
          <w:sz w:val="24"/>
        </w:rPr>
        <w:t xml:space="preserve">Primary Git Repository: </w:t>
      </w:r>
      <w:r>
        <w:rPr>
          <w:rFonts w:ascii="Times New Roman" w:hAnsi="Times New Roman"/>
          <w:sz w:val="24"/>
        </w:rPr>
        <w:t>https://github.com/ijk037/sem5 (Branch: main)</w:t>
      </w:r>
    </w:p>
    <w:p>
      <w:pPr>
        <w:pStyle w:val="ListBullet"/>
        <w:spacing w:line="360" w:lineRule="auto" w:after="80"/>
      </w:pPr>
      <w:r>
        <w:rPr>
          <w:rFonts w:ascii="Times New Roman" w:hAnsi="Times New Roman"/>
          <w:b/>
          <w:sz w:val="24"/>
        </w:rPr>
        <w:t xml:space="preserve">Exploratory Data Analysis Notebook: </w:t>
      </w:r>
      <w:r>
        <w:rPr>
          <w:rFonts w:ascii="Times New Roman" w:hAnsi="Times New Roman"/>
          <w:sz w:val="24"/>
        </w:rPr>
        <w:t>pa - food project/01_exploratory_data_analysis.ipynb</w:t>
      </w:r>
    </w:p>
    <w:p>
      <w:pPr>
        <w:pStyle w:val="ListBullet"/>
        <w:spacing w:line="360" w:lineRule="auto" w:after="80"/>
      </w:pPr>
      <w:r>
        <w:rPr>
          <w:rFonts w:ascii="Times New Roman" w:hAnsi="Times New Roman"/>
          <w:b/>
          <w:sz w:val="24"/>
        </w:rPr>
        <w:t xml:space="preserve">Predictive Modeling Pipeline Notebook: </w:t>
      </w:r>
      <w:r>
        <w:rPr>
          <w:rFonts w:ascii="Times New Roman" w:hAnsi="Times New Roman"/>
          <w:sz w:val="24"/>
        </w:rPr>
        <w:t>pa - food project/02_predictive_modeling.ipynb</w:t>
      </w:r>
    </w:p>
    <w:p>
      <w:pPr>
        <w:pStyle w:val="ListBullet"/>
        <w:spacing w:line="360" w:lineRule="auto" w:after="80"/>
      </w:pPr>
      <w:r>
        <w:rPr>
          <w:rFonts w:ascii="Times New Roman" w:hAnsi="Times New Roman"/>
          <w:b/>
          <w:sz w:val="24"/>
        </w:rPr>
        <w:t xml:space="preserve">Time Series Forecasting Notebook: </w:t>
      </w:r>
      <w:r>
        <w:rPr>
          <w:rFonts w:ascii="Times New Roman" w:hAnsi="Times New Roman"/>
          <w:sz w:val="24"/>
        </w:rPr>
        <w:t>pa - food project/03_time_series_forecasting.ipynb</w:t>
      </w:r>
    </w:p>
    <w:p>
      <w:pPr>
        <w:pStyle w:val="ListBullet"/>
        <w:spacing w:line="360" w:lineRule="auto" w:after="80"/>
      </w:pPr>
      <w:r>
        <w:rPr>
          <w:rFonts w:ascii="Times New Roman" w:hAnsi="Times New Roman"/>
          <w:b/>
          <w:sz w:val="24"/>
        </w:rPr>
        <w:t xml:space="preserve">Production Model Pipeline Artifact: </w:t>
      </w:r>
      <w:r>
        <w:rPr>
          <w:rFonts w:ascii="Times New Roman" w:hAnsi="Times New Roman"/>
          <w:sz w:val="24"/>
        </w:rPr>
        <w:t>pa - food project/models/best_demand_lgbm.joblib</w:t>
      </w:r>
    </w:p>
    <w:p>
      <w:pPr>
        <w:pStyle w:val="ListBullet"/>
        <w:spacing w:line="360" w:lineRule="auto" w:after="80"/>
      </w:pPr>
      <w:r>
        <w:rPr>
          <w:rFonts w:ascii="Times New Roman" w:hAnsi="Times New Roman"/>
          <w:b/>
          <w:sz w:val="24"/>
        </w:rPr>
        <w:t xml:space="preserve">Macro SARIMA Pipeline Artifact: </w:t>
      </w:r>
      <w:r>
        <w:rPr>
          <w:rFonts w:ascii="Times New Roman" w:hAnsi="Times New Roman"/>
          <w:sz w:val="24"/>
        </w:rPr>
        <w:t>pa - food project/models/best_macro_sarima.joblib</w:t>
      </w:r>
    </w:p>
    <w:p>
      <w:pPr>
        <w:pStyle w:val="ListBullet"/>
        <w:spacing w:line="360" w:lineRule="auto" w:after="80"/>
      </w:pPr>
      <w:r>
        <w:rPr>
          <w:rFonts w:ascii="Times New Roman" w:hAnsi="Times New Roman"/>
          <w:b/>
          <w:sz w:val="24"/>
        </w:rPr>
        <w:t xml:space="preserve">Interactive Dashboard Entrypoint: </w:t>
      </w:r>
      <w:r>
        <w:rPr>
          <w:rFonts w:ascii="Times New Roman" w:hAnsi="Times New Roman"/>
          <w:sz w:val="24"/>
        </w:rPr>
        <w:t>pa - food project/stitch_food_delivery_demand_analytics_dashboard/index.html</w:t>
      </w:r>
    </w:p>
    <w:p>
      <w:pPr>
        <w:spacing w:line="360" w:lineRule="auto" w:after="160"/>
        <w:jc w:val="left"/>
      </w:pPr>
      <w:r>
        <w:rPr>
          <w:rFonts w:ascii="Times New Roman" w:hAnsi="Times New Roman"/>
          <w:b/>
          <w:i w:val="0"/>
          <w:color w:val="000000"/>
          <w:sz w:val="28"/>
        </w:rPr>
        <w:t>Appendix B: Relational Data Dictionary</w:t>
      </w:r>
    </w:p>
    <w:p>
      <w:pPr>
        <w:spacing w:line="360" w:lineRule="auto" w:after="120"/>
        <w:jc w:val="both"/>
      </w:pPr>
      <w:r>
        <w:rPr>
          <w:rFonts w:ascii="Times New Roman" w:hAnsi="Times New Roman"/>
          <w:sz w:val="24"/>
        </w:rPr>
        <w:t>The operational data schema is structured across three primary tables with foreign key linkages (center_id and meal_id):</w:t>
      </w:r>
    </w:p>
    <w:p>
      <w:pPr>
        <w:pStyle w:val="ListBullet"/>
        <w:spacing w:line="360" w:lineRule="auto" w:after="80"/>
      </w:pPr>
      <w:r>
        <w:rPr>
          <w:rFonts w:ascii="Times New Roman" w:hAnsi="Times New Roman"/>
          <w:b/>
          <w:sz w:val="24"/>
        </w:rPr>
        <w:t xml:space="preserve">train.csv Schema: </w:t>
      </w:r>
      <w:r>
        <w:rPr>
          <w:rFonts w:ascii="Times New Roman" w:hAnsi="Times New Roman"/>
          <w:sz w:val="24"/>
        </w:rPr>
        <w:t>id (int64, PK), week (int64, 1–145), center_id (int64, FK), meal_id (int64, FK), checkout_price (float64, INR), base_price (float64, INR), emailer_for_promotion (int64, {0,1}), homepage_featured (int64, {0,1}), num_orders (int64, Target demand).</w:t>
      </w:r>
    </w:p>
    <w:p>
      <w:pPr>
        <w:pStyle w:val="ListBullet"/>
        <w:spacing w:line="360" w:lineRule="auto" w:after="80"/>
      </w:pPr>
      <w:r>
        <w:rPr>
          <w:rFonts w:ascii="Times New Roman" w:hAnsi="Times New Roman"/>
          <w:b/>
          <w:sz w:val="24"/>
        </w:rPr>
        <w:t xml:space="preserve">fulfilment_center_info.csv Schema: </w:t>
      </w:r>
      <w:r>
        <w:rPr>
          <w:rFonts w:ascii="Times New Roman" w:hAnsi="Times New Roman"/>
          <w:sz w:val="24"/>
        </w:rPr>
        <w:t>center_id (int64, PK), city_code (int64), region_code (int64), center_type (object, {TYPE_A, TYPE_B, TYPE_C}), op_area (float64, 0.9–7.0 km²).</w:t>
      </w:r>
    </w:p>
    <w:p>
      <w:pPr>
        <w:pStyle w:val="ListBullet"/>
        <w:spacing w:line="360" w:lineRule="auto" w:after="80"/>
      </w:pPr>
      <w:r>
        <w:rPr>
          <w:rFonts w:ascii="Times New Roman" w:hAnsi="Times New Roman"/>
          <w:b/>
          <w:sz w:val="24"/>
        </w:rPr>
        <w:t xml:space="preserve">meal_info.csv Schema: </w:t>
      </w:r>
      <w:r>
        <w:rPr>
          <w:rFonts w:ascii="Times New Roman" w:hAnsi="Times New Roman"/>
          <w:sz w:val="24"/>
        </w:rPr>
        <w:t>meal_id (int64, PK), category (object, 14 categories), cuisine (object, {Indian, Continental, Italian, Thai}).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