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keepNext w:val="false"/>
        <w:pageBreakBefore w:val="false"/>
        <w:widowControl/>
        <w:pBdr/>
        <w:bidi w:val="0"/>
        <w:spacing w:lineRule="auto" w:line="273" w:before="0" w:after="0"/>
        <w:ind w:left="0" w:right="0" w:hanging="0"/>
        <w:jc w:val="left"/>
        <w:rPr/>
      </w:pPr>
      <w:r>
        <w:rPr/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Heading3"/>
        <w:keepNext w:val="false"/>
        <w:pageBreakBefore w:val="false"/>
        <w:widowControl/>
        <w:pBdr/>
        <w:bidi w:val="0"/>
        <w:spacing w:lineRule="auto" w:line="273" w:before="0" w:after="0"/>
        <w:ind w:left="0" w:right="0" w:hanging="0"/>
        <w:jc w:val="left"/>
        <w:rPr>
          <w:rFonts w:ascii="Google Sans Text;sans-serif" w:hAnsi="Google Sans Text;sans-serif"/>
          <w:b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Ficha Técnica de la Ponencia</w:t>
      </w:r>
    </w:p>
    <w:p>
      <w:pPr>
        <w:pStyle w:val="TextBody"/>
        <w:pBdr/>
        <w:bidi w:val="0"/>
        <w:spacing w:lineRule="auto" w:line="273" w:before="0" w:after="14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Título: Magia Ritual en la Masonería </w:t>
      </w:r>
      <w:r>
        <w:rPr>
          <w:rFonts w:ascii="Google Sans Text;sans-serif" w:hAnsi="Google Sans Text;sans-serif"/>
        </w:rPr>
        <w:t>Antigua</w:t>
      </w:r>
      <w:r>
        <w:rPr>
          <w:rFonts w:ascii="Google Sans Text;sans-serif" w:hAnsi="Google Sans Text;sans-serif"/>
        </w:rPr>
        <w:t>: Martínez de Pasqually y la paradoja de la Ilustración.</w:t>
      </w:r>
    </w:p>
    <w:p>
      <w:pPr>
        <w:pStyle w:val="TextBody"/>
        <w:pBdr/>
        <w:bidi w:val="0"/>
        <w:spacing w:lineRule="auto" w:line="273" w:before="0" w:after="14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Ponente: Iván José Márquez Larios.</w:t>
      </w:r>
    </w:p>
    <w:p>
      <w:pPr>
        <w:pStyle w:val="TextBody"/>
        <w:pBdr/>
        <w:bidi w:val="0"/>
        <w:spacing w:lineRule="auto" w:line="273" w:before="0" w:after="14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Afiliación: </w:t>
      </w:r>
      <w:r>
        <w:rPr>
          <w:rFonts w:ascii="Google Sans Text;sans-serif" w:hAnsi="Google Sans Text;sans-serif"/>
        </w:rPr>
        <w:t xml:space="preserve">Gran Logia de Texas (MM); Gran Capítulo del RA de Texas; Gran Consejo Críptico de Texas; Gran Comandancia Templaria de Texas; Supremo Consejo de México (Gr. 32); </w:t>
      </w:r>
      <w:r>
        <w:rPr>
          <w:rFonts w:ascii="Google Sans Text;sans-serif" w:hAnsi="Google Sans Text;sans-serif"/>
        </w:rPr>
        <w:t>Ordre Martinistes Souverains (OMS).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4"/>
        <w:keepNext w:val="false"/>
        <w:pageBreakBefore w:val="false"/>
        <w:widowControl/>
        <w:pBdr/>
        <w:bidi w:val="0"/>
        <w:spacing w:lineRule="auto" w:line="273" w:before="0" w:after="0"/>
        <w:ind w:left="0" w:right="0" w:hanging="0"/>
        <w:jc w:val="left"/>
        <w:rPr>
          <w:rFonts w:ascii="Google Sans Text;sans-serif" w:hAnsi="Google Sans Text;sans-serif"/>
          <w:b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1. Resumen Ejecutivo (Abstract)</w:t>
      </w:r>
    </w:p>
    <w:p>
      <w:pPr>
        <w:pStyle w:val="TextBody"/>
        <w:keepNext w:val="false"/>
        <w:pageBreakBefore w:val="false"/>
        <w:widowControl/>
        <w:pBdr/>
        <w:bidi w:val="0"/>
        <w:spacing w:lineRule="auto" w:line="273" w:before="0" w:after="240"/>
        <w:ind w:left="0" w:right="0" w:hanging="0"/>
        <w:jc w:val="lef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>La presente conferencia explora la irrupción de los sistemas teúrgicos y operativos dentro del panorama masónico francés del siglo XVIII. Mientras la Ilustración promovía el racionalismo, figuras como Martínez de Pasqually propusieron un retorno al "Sacerdocio Primitivo" a través de la Orden de los Caballeros Masones Élus Coëns del Universo. Se analiza la transición desde la masonería jacobita hacia los altos grados místicos y el legado vivo que la OMS preserva hoy a través de la recuperación documental.</w:t>
      </w:r>
    </w:p>
    <w:p>
      <w:pPr>
        <w:pStyle w:val="Heading4"/>
        <w:keepNext w:val="false"/>
        <w:pageBreakBefore w:val="false"/>
        <w:widowControl/>
        <w:pBdr/>
        <w:bidi w:val="0"/>
        <w:spacing w:lineRule="auto" w:line="273" w:before="0" w:after="0"/>
        <w:ind w:left="0" w:right="0" w:hanging="0"/>
        <w:jc w:val="left"/>
        <w:rPr>
          <w:rFonts w:ascii="Google Sans Text;sans-serif" w:hAnsi="Google Sans Text;sans-serif"/>
          <w:b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2. Objetivos de la Presentación</w:t>
      </w:r>
    </w:p>
    <w:p>
      <w:pPr>
        <w:pStyle w:val="TextBody"/>
        <w:keepNext w:val="false"/>
        <w:pageBreakBefore w:val="false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273" w:before="0" w:after="0"/>
        <w:ind w:left="0" w:right="0" w:hanging="283"/>
        <w:jc w:val="lef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 xml:space="preserve">Contextualizar el surgimiento del </w:t>
      </w:r>
      <w:r>
        <w:rPr>
          <w:rFonts w:ascii="Google Sans Text;sans-serif" w:hAnsi="Google Sans Text;sans-serif"/>
          <w:b/>
          <w:color w:val="1F1F1F"/>
        </w:rPr>
        <w:t>Écossisme</w:t>
      </w:r>
      <w:r>
        <w:rPr>
          <w:rFonts w:ascii="Google Sans Text;sans-serif" w:hAnsi="Google Sans Text;sans-serif"/>
          <w:color w:val="1F1F1F"/>
        </w:rPr>
        <w:t xml:space="preserve"> y su relación con la diáspora Estuardo.</w:t>
      </w:r>
    </w:p>
    <w:p>
      <w:pPr>
        <w:pStyle w:val="TextBody"/>
        <w:keepNext w:val="false"/>
        <w:pageBreakBefore w:val="false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273" w:before="0" w:after="0"/>
        <w:ind w:left="0" w:right="0" w:hanging="283"/>
        <w:jc w:val="lef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 xml:space="preserve">Diferenciar las vías de la </w:t>
      </w:r>
      <w:r>
        <w:rPr>
          <w:rFonts w:ascii="Google Sans Text;sans-serif" w:hAnsi="Google Sans Text;sans-serif"/>
          <w:b/>
          <w:color w:val="1F1F1F"/>
        </w:rPr>
        <w:t>Masonería Ética</w:t>
      </w:r>
      <w:r>
        <w:rPr>
          <w:rFonts w:ascii="Google Sans Text;sans-serif" w:hAnsi="Google Sans Text;sans-serif"/>
          <w:color w:val="1F1F1F"/>
        </w:rPr>
        <w:t xml:space="preserve"> (Inglaterra) frente a la </w:t>
      </w:r>
      <w:r>
        <w:rPr>
          <w:rFonts w:ascii="Google Sans Text;sans-serif" w:hAnsi="Google Sans Text;sans-serif"/>
          <w:b/>
          <w:color w:val="1F1F1F"/>
        </w:rPr>
        <w:t>Masonería Teúrgica</w:t>
      </w:r>
      <w:r>
        <w:rPr>
          <w:rFonts w:ascii="Google Sans Text;sans-serif" w:hAnsi="Google Sans Text;sans-serif"/>
          <w:color w:val="1F1F1F"/>
        </w:rPr>
        <w:t xml:space="preserve"> (Francia).</w:t>
      </w:r>
    </w:p>
    <w:p>
      <w:pPr>
        <w:pStyle w:val="TextBody"/>
        <w:keepNext w:val="false"/>
        <w:pageBreakBefore w:val="false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273" w:before="0" w:after="120"/>
        <w:ind w:left="0" w:right="0" w:hanging="283"/>
        <w:jc w:val="lef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>Analizar la cosmogonía de Pasqually: La Caída, la Reparación y la Reintegración.</w:t>
      </w:r>
    </w:p>
    <w:p>
      <w:pPr>
        <w:pStyle w:val="TextBody"/>
        <w:keepNext w:val="false"/>
        <w:pageBreakBefore w:val="false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273" w:before="0" w:after="0"/>
        <w:ind w:left="0" w:right="0" w:hanging="283"/>
        <w:jc w:val="lef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 xml:space="preserve">Presentar la labor actual de la </w:t>
      </w:r>
      <w:r>
        <w:rPr>
          <w:rFonts w:ascii="Google Sans Text;sans-serif" w:hAnsi="Google Sans Text;sans-serif"/>
          <w:b/>
          <w:color w:val="1F1F1F"/>
        </w:rPr>
        <w:t>OMS</w:t>
      </w:r>
      <w:r>
        <w:rPr>
          <w:rFonts w:ascii="Google Sans Text;sans-serif" w:hAnsi="Google Sans Text;sans-serif"/>
          <w:color w:val="1F1F1F"/>
        </w:rPr>
        <w:t xml:space="preserve"> en la traducción, </w:t>
      </w:r>
      <w:r>
        <w:rPr>
          <w:rFonts w:ascii="Google Sans Text;sans-serif" w:hAnsi="Google Sans Text;sans-serif"/>
          <w:color w:val="1F1F1F"/>
        </w:rPr>
        <w:t xml:space="preserve">restauración, </w:t>
      </w:r>
      <w:r>
        <w:rPr>
          <w:rFonts w:ascii="Google Sans Text;sans-serif" w:hAnsi="Google Sans Text;sans-serif"/>
          <w:color w:val="1F1F1F"/>
        </w:rPr>
        <w:t xml:space="preserve">preservación </w:t>
      </w:r>
      <w:r>
        <w:rPr>
          <w:rFonts w:ascii="Google Sans Text;sans-serif" w:hAnsi="Google Sans Text;sans-serif"/>
          <w:color w:val="1F1F1F"/>
        </w:rPr>
        <w:t>y práctica</w:t>
      </w:r>
      <w:r>
        <w:rPr>
          <w:rFonts w:ascii="Google Sans Text;sans-serif" w:hAnsi="Google Sans Text;sans-serif"/>
          <w:color w:val="1F1F1F"/>
        </w:rPr>
        <w:t xml:space="preserve"> de fuentes primarias para el mundo hispanohablante.</w:t>
      </w:r>
    </w:p>
    <w:p>
      <w:pPr>
        <w:pStyle w:val="Heading4"/>
        <w:keepNext w:val="false"/>
        <w:pageBreakBefore w:val="false"/>
        <w:widowControl/>
        <w:pBdr/>
        <w:bidi w:val="0"/>
        <w:spacing w:lineRule="auto" w:line="273" w:before="0" w:after="0"/>
        <w:ind w:left="0" w:right="0" w:hanging="0"/>
        <w:jc w:val="left"/>
        <w:rPr>
          <w:rFonts w:ascii="Google Sans Text;sans-serif" w:hAnsi="Google Sans Text;sans-serif"/>
          <w:b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3. Puntos Clave del Recorrido Histórico</w:t>
      </w:r>
    </w:p>
    <w:p>
      <w:pPr>
        <w:pStyle w:val="TextBody"/>
        <w:keepNext w:val="false"/>
        <w:pageBreakBefore w:val="false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273" w:before="0" w:after="0"/>
        <w:ind w:left="0" w:right="0" w:hanging="283"/>
        <w:jc w:val="lef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1688 - 1717:</w:t>
      </w:r>
      <w:r>
        <w:rPr>
          <w:rFonts w:ascii="Google Sans Text;sans-serif" w:hAnsi="Google Sans Text;sans-serif"/>
          <w:color w:val="1F1F1F"/>
        </w:rPr>
        <w:t xml:space="preserve"> De la crisis dinástica británica a la creación de la Gran Logia.</w:t>
      </w:r>
    </w:p>
    <w:p>
      <w:pPr>
        <w:pStyle w:val="TextBody"/>
        <w:keepNext w:val="false"/>
        <w:pageBreakBefore w:val="false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273" w:before="0" w:after="0"/>
        <w:ind w:left="0" w:right="0" w:hanging="283"/>
        <w:jc w:val="lef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1754 - 1774:</w:t>
      </w:r>
      <w:r>
        <w:rPr>
          <w:rFonts w:ascii="Google Sans Text;sans-serif" w:hAnsi="Google Sans Text;sans-serif"/>
          <w:color w:val="1F1F1F"/>
        </w:rPr>
        <w:t xml:space="preserve"> El periodo operativo de Pasqually y la formación de los cuadros Élus Coëns.</w:t>
      </w:r>
    </w:p>
    <w:p>
      <w:pPr>
        <w:pStyle w:val="TextBody"/>
        <w:keepNext w:val="false"/>
        <w:pageBreakBefore w:val="false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273" w:before="0" w:after="0"/>
        <w:ind w:left="0" w:right="0" w:hanging="283"/>
        <w:jc w:val="lef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La Herencia Dividida:</w:t>
      </w:r>
      <w:r>
        <w:rPr>
          <w:rFonts w:ascii="Google Sans Text;sans-serif" w:hAnsi="Google Sans Text;sans-serif"/>
          <w:color w:val="1F1F1F"/>
        </w:rPr>
        <w:t xml:space="preserve"> El enfoque caballeresco de Willermoz frente a la "Vía del Corazón" de Saint-Martin.</w:t>
      </w:r>
    </w:p>
    <w:p>
      <w:pPr>
        <w:pStyle w:val="TextBody"/>
        <w:keepNext w:val="false"/>
        <w:pageBreakBefore w:val="false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273" w:before="0" w:after="0"/>
        <w:ind w:left="0" w:right="0" w:hanging="283"/>
        <w:jc w:val="lef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Siglo XXI:</w:t>
      </w:r>
      <w:r>
        <w:rPr>
          <w:rFonts w:ascii="Google Sans Text;sans-serif" w:hAnsi="Google Sans Text;sans-serif"/>
          <w:color w:val="1F1F1F"/>
        </w:rPr>
        <w:t xml:space="preserve"> La síntesis operativa y la importancia de la documentación auténtica frente a la barrera del idioma.</w:t>
      </w:r>
    </w:p>
    <w:p>
      <w:pPr>
        <w:pStyle w:val="Heading4"/>
        <w:keepNext w:val="false"/>
        <w:pageBreakBefore w:val="false"/>
        <w:widowControl/>
        <w:pBdr/>
        <w:bidi w:val="0"/>
        <w:spacing w:lineRule="auto" w:line="273" w:before="0" w:after="0"/>
        <w:ind w:left="0" w:right="0" w:hanging="0"/>
        <w:jc w:val="left"/>
        <w:rPr>
          <w:rFonts w:ascii="Google Sans Text;sans-serif" w:hAnsi="Google Sans Text;sans-serif"/>
          <w:b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4. Nota sobre el Material Audiovisual</w:t>
      </w:r>
    </w:p>
    <w:p>
      <w:pPr>
        <w:pStyle w:val="TextBody"/>
        <w:keepNext w:val="false"/>
        <w:pageBreakBefore w:val="false"/>
        <w:widowControl/>
        <w:pBdr/>
        <w:bidi w:val="0"/>
        <w:spacing w:lineRule="auto" w:line="273" w:before="0" w:after="0"/>
        <w:ind w:left="0" w:right="0" w:hanging="0"/>
        <w:jc w:val="lef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 xml:space="preserve">Esta ponencia utiliza una plataforma de </w:t>
      </w:r>
      <w:r>
        <w:rPr>
          <w:rFonts w:ascii="Google Sans Text;sans-serif" w:hAnsi="Google Sans Text;sans-serif"/>
          <w:b/>
          <w:color w:val="1F1F1F"/>
        </w:rPr>
        <w:t>Visualización Dinámica e Interactiva (Genially)</w:t>
      </w:r>
      <w:r>
        <w:rPr>
          <w:rFonts w:ascii="Google Sans Text;sans-serif" w:hAnsi="Google Sans Text;sans-serif"/>
          <w:color w:val="1F1F1F"/>
        </w:rPr>
        <w:t xml:space="preserve"> diseñada para permitir un análisis detallado de cartografía histórica del siglo XVIII.</w:t>
      </w:r>
    </w:p>
    <w:p>
      <w:pPr>
        <w:pStyle w:val="TextBody"/>
        <w:keepNext w:val="false"/>
        <w:pageBreakBefore w:val="false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lineRule="auto" w:line="273" w:before="0" w:after="0"/>
        <w:ind w:left="0" w:right="0" w:hanging="283"/>
        <w:jc w:val="left"/>
        <w:rPr/>
      </w:pPr>
      <w:r>
        <w:rPr>
          <w:rFonts w:ascii="Google Sans Text;sans-serif" w:hAnsi="Google Sans Text;sans-serif"/>
          <w:b/>
          <w:color w:val="1F1F1F"/>
        </w:rPr>
        <w:t>Enlace de acceso a la experiencia interactiva:</w:t>
      </w:r>
      <w:r>
        <w:rPr>
          <w:rFonts w:ascii="Google Sans Text;sans-serif" w:hAnsi="Google Sans Text;sans-serif"/>
          <w:color w:val="1F1F1F"/>
        </w:rPr>
        <w:t xml:space="preserve"> </w:t>
      </w:r>
      <w:r>
        <w:rPr>
          <w:rStyle w:val="SourceText"/>
          <w:rFonts w:ascii="Google Sans Text;sans-serif" w:hAnsi="Google Sans Text;sans-serif"/>
          <w:color w:val="444746"/>
        </w:rPr>
        <w:t>https://view.genially.com/69544eeb963dee4f07dfdc57/interactive-image-magia-en-la-masoneria-antigua</w:t>
      </w:r>
    </w:p>
    <w:p>
      <w:pPr>
        <w:pStyle w:val="TextBody"/>
        <w:keepNext w:val="false"/>
        <w:pageBreakBefore w:val="false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lineRule="auto" w:line="273" w:before="0" w:after="0"/>
        <w:ind w:left="0" w:right="0" w:hanging="283"/>
        <w:jc w:val="lef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Contenido Adicional:</w:t>
      </w:r>
      <w:r>
        <w:rPr>
          <w:rFonts w:ascii="Google Sans Text;sans-serif" w:hAnsi="Google Sans Text;sans-serif"/>
          <w:color w:val="1F1F1F"/>
        </w:rPr>
        <w:t xml:space="preserve"> El material incluye diagramas de la </w:t>
      </w:r>
      <w:r>
        <w:rPr>
          <w:rFonts w:ascii="Google Sans Text;sans-serif" w:hAnsi="Google Sans Text;sans-serif"/>
          <w:color w:val="1F1F1F"/>
        </w:rPr>
        <w:t>Tradición</w:t>
      </w:r>
      <w:r>
        <w:rPr>
          <w:rFonts w:ascii="Google Sans Text;sans-serif" w:hAnsi="Google Sans Text;sans-serif"/>
          <w:color w:val="1F1F1F"/>
        </w:rPr>
        <w:t xml:space="preserve"> Coën y mapas de la diáspora jacobita.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jc w:val="lef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Google Sans Text">
    <w:altName w:val="sans-serif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paragraph" w:styleId="Heading4">
    <w:name w:val="Heading 4"/>
    <w:basedOn w:val="Heading"/>
    <w:next w:val="TextBody"/>
    <w:qFormat/>
    <w:pPr>
      <w:spacing w:before="120" w:after="120"/>
      <w:outlineLvl w:val="3"/>
    </w:pPr>
    <w:rPr>
      <w:rFonts w:ascii="Liberation Serif" w:hAnsi="Liberation Serif" w:eastAsia="Noto Serif CJK SC" w:cs="Lohit Devanagari"/>
      <w:b/>
      <w:bCs/>
      <w:sz w:val="24"/>
      <w:szCs w:val="24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LibreOffice/7.4.7.2$Linux_X86_64 LibreOffice_project/40$Build-2</Application>
  <AppVersion>15.0000</AppVersion>
  <Pages>2</Pages>
  <Words>338</Words>
  <Characters>1931</Characters>
  <CharactersWithSpaces>2239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2026-01-10T15:57:12Z</dcterms:created>
  <dc:creator/>
  <dc:description/>
  <dc:language>en-US</dc:language>
  <cp:lastModifiedBy/>
  <dcterms:modified xsi:type="dcterms:W3CDTF">2026-01-10T16:12:06Z</dcterms:modified>
  <cp:revision>1</cp:revision>
  <dc:subject/>
  <dc:title/>
</cp:coreProperties>
</file>