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Report</w:t>
      </w:r>
    </w:p>
    <w:p>
      <w:r>
        <w:t>Week 43</w:t>
      </w:r>
    </w:p>
    <w:p>
      <w:pPr>
        <w:pStyle w:val="Heading2"/>
      </w:pPr>
      <w:r>
        <w:t>Week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Main task</w:t>
            </w:r>
          </w:p>
        </w:tc>
        <w:tc>
          <w:tcPr>
            <w:tcW w:type="dxa" w:w="4320"/>
          </w:tcPr>
          <w:p>
            <w:r>
              <w:t>Customer onboarding flow</w:t>
            </w:r>
          </w:p>
        </w:tc>
      </w:tr>
      <w:tr>
        <w:tc>
          <w:tcPr>
            <w:tcW w:type="dxa" w:w="4320"/>
          </w:tcPr>
          <w:p>
            <w:r>
              <w:t>Mentor</w:t>
            </w:r>
          </w:p>
        </w:tc>
        <w:tc>
          <w:tcPr>
            <w:tcW w:type="dxa" w:w="4320"/>
          </w:tcPr>
          <w:p>
            <w:r>
              <w:t>Tom Richter</w:t>
            </w:r>
          </w:p>
        </w:tc>
      </w:tr>
    </w:tbl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