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02 — Business Model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 مدل کسب‌وکار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AI Employee Platform یک کسب‌وکار SaaS چندمستأجری (Multi-Tenant SaaS) است که درآمد خود را از ترکیب اشتراک ماهانه/سالانه، هزینه راه‌اندازی، مصرف مبتنی بر استفاده (Usage) و قراردادهای سازمانی تأمین می‌کند.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مدل اصلی درآمد:</w:t>
      </w: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1B4F72"/>
          <w:sz w:val="24"/>
          <w:szCs w:val="24"/>
        </w:rPr>
        <w:t xml:space="preserve">Setup  +  Subscription  +  Usage  +  Enterprise</w:t>
      </w:r>
    </w:p>
    <w:p>
      <w:pPr>
        <w:pStyle w:val="Heading1"/>
      </w:pPr>
      <w:r>
        <w:t xml:space="preserve">۲. بخش‌های مشتریان (Customer Segments)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بخش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ویژگی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نیاز اصلی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کسب‌وکار کوچک (SMB)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۱–۲۰ نفر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گزارش سریع بدون استخدام متخصص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کسب‌وکار متوسط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۲۰–۲۰۰ نفر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اتوماسیون گزارش و تحلیل فروش/مالی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آژانس‌ها و مشاوران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ارائه‌دهنده خدمت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ابزار ارزش‌افزوده برای مشتریان خود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شرکت‌های نرم‌افزاری / ERP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شریک فنی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ادغام Employee در محصول خود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سازمان‌های بزرگ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امنیت، SLA، سفارشی‌سازی، on-prem/hybrid</w:t>
            </w:r>
          </w:p>
        </w:tc>
      </w:tr>
    </w:tbl>
    <w:p>
      <w:pPr>
        <w:pStyle w:val="Heading1"/>
      </w:pPr>
      <w:r>
        <w:t xml:space="preserve">۳. ارزش پیشنهادی به تفکیک بخش</w:t>
      </w:r>
    </w:p>
    <w:p>
      <w:pPr>
        <w:pStyle w:val="Heading2"/>
      </w:pPr>
      <w:r>
        <w:t xml:space="preserve">برای SMB و کسب‌وکار متوسط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تبدیل فایل اکسل به داشبورد و گزارش مدیریتی در چند دقیقه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حذف نیاز به استخدام تحلیل‌گر داده تمام‌وقت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هزینه قابل پیش‌بینی و شفاف (اشتراک + مصرف)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شروع سریع بدون پیاده‌سازی پیچیده</w:t>
      </w:r>
    </w:p>
    <w:p>
      <w:pPr>
        <w:pStyle w:val="Heading2"/>
      </w:pPr>
      <w:r>
        <w:t xml:space="preserve">برای آژانس‌ها و مشاوران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ارائه گزارش حرفه‌ای به مشتریان نهایی با برند خود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افزایش حاشیه سود خدمات مشاوره‌ای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ابزار قابل فروش مجدد (White-label در آینده)</w:t>
      </w:r>
    </w:p>
    <w:p>
      <w:pPr>
        <w:pStyle w:val="Heading2"/>
      </w:pPr>
      <w:r>
        <w:t xml:space="preserve">برای Enterprise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امنیت، جداسازی داده، Audit Log و Compliance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SLA و پشتیبانی اختصاصی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امکان استقرار خصوصی یا Hybrid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سفارشی‌سازی Employeeها و Workflowها</w:t>
      </w:r>
    </w:p>
    <w:p>
      <w:pPr>
        <w:pStyle w:val="Heading1"/>
      </w:pPr>
      <w:r>
        <w:t xml:space="preserve">۴. جریان‌های درآمد (Revenue Streams)</w:t>
      </w:r>
    </w:p>
    <w:p>
      <w:pPr>
        <w:pStyle w:val="Heading2"/>
      </w:pPr>
      <w:r>
        <w:t xml:space="preserve">۴.۱ Setup Fee (هزینه راه‌اندازی)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هزینه یک‌باره برای فعال‌سازی حساب، تنظیم اولیه Tenant، آموزش پایه و onboard کردن اولین Employee.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Starter: رایگان یا نمادین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Business / Professional: هزینه متوسط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Enterprise: هزینه سفارشی بر اساس پیچیدگی</w:t>
      </w:r>
    </w:p>
    <w:p>
      <w:pPr>
        <w:pStyle w:val="Heading2"/>
      </w:pPr>
      <w:r>
        <w:t xml:space="preserve">۴.۲ Subscription (اشتراک)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درآمد تکرارشونده ماهانه یا سالانه. پایه اصلی MRR.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سطح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هدف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محدودیت اصلی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قیمت‌گذاری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یادداشت</w:t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Beta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اعتبارسنجی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محدود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رایگان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فاز سوم</w:t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Starter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فرد / خیلی کوچک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Run و Employee محدود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پایین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ورود آسان</w:t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SMB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Run بیشتر + چند Employee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متوسط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هسته درآمد</w:t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Professional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متوسط رو به بالا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Usage بالاتر + اولویت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بالاتر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حاشیه بهتر</w:t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Enterprise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سازمانی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سفارشی + SLA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قراردادی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بالاترین LTV</w:t>
            </w:r>
          </w:p>
        </w:tc>
      </w:tr>
    </w:tbl>
    <w:p>
      <w:pPr>
        <w:pStyle w:val="Heading2"/>
      </w:pPr>
      <w:r>
        <w:t xml:space="preserve">۴.۳ Usage-Based (مبتنی بر مصرف)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هزینه بر اساس مصرف واقعی منابع: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تعداد Run (اجرای Employee)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توکن مصرف‌شده (Token Usage)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حجم فایل پردازش‌شده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ذخیره‌سازی Knowledge / Memory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فراخوانی ابزارهای خارجی (در صورت وجود)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هر پلن اشتراک شامل سهمیه ماهانه Usage است. مصرف بیش از سهمیه به‌صورت pay-as-you-go محاسبه می‌شود.</w:t>
      </w:r>
    </w:p>
    <w:p>
      <w:pPr>
        <w:pStyle w:val="Heading2"/>
      </w:pPr>
      <w:r>
        <w:t xml:space="preserve">۴.۴ Enterprise Contracts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قرارداد سالانه با حداقل تعهد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پشتیبانی اختصاصی و SLA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امکان استقرار خصوصی / Hybrid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سفارشی‌سازی Employee و Workflow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آموزش و Professional Services</w:t>
      </w:r>
    </w:p>
    <w:p>
      <w:pPr>
        <w:pStyle w:val="Heading1"/>
      </w:pPr>
      <w:r>
        <w:t xml:space="preserve">۵. فلسفه قیمت‌گذاری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شفافیت: </w:t>
      </w:r>
      <w:r>
        <w:rPr>
          <w:rFonts w:ascii="Arial" w:cs="Arial" w:eastAsia="Arial" w:hAnsi="Arial"/>
          <w:sz w:val="22"/>
          <w:szCs w:val="22"/>
        </w:rPr>
        <w:t xml:space="preserve">مشتری باید بداند دقیقاً بابت چه چیزی پول می‌دهد (اشتراک + مصرف).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ورود آسان: </w:t>
      </w:r>
      <w:r>
        <w:rPr>
          <w:rFonts w:ascii="Arial" w:cs="Arial" w:eastAsia="Arial" w:hAnsi="Arial"/>
          <w:sz w:val="22"/>
          <w:szCs w:val="22"/>
        </w:rPr>
        <w:t xml:space="preserve">Beta رایگان و Starter ارزان برای کاهش اصطکاک ورود.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همسویی با ارزش: </w:t>
      </w:r>
      <w:r>
        <w:rPr>
          <w:rFonts w:ascii="Arial" w:cs="Arial" w:eastAsia="Arial" w:hAnsi="Arial"/>
          <w:sz w:val="22"/>
          <w:szCs w:val="22"/>
        </w:rPr>
        <w:t xml:space="preserve">هرچه مشتری بیشتر استفاده کند و ارزش بیشتری بگیرد، درآمد ما هم رشد کند (Usage).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محافظت از حاشیه: </w:t>
      </w:r>
      <w:r>
        <w:rPr>
          <w:rFonts w:ascii="Arial" w:cs="Arial" w:eastAsia="Arial" w:hAnsi="Arial"/>
          <w:sz w:val="22"/>
          <w:szCs w:val="22"/>
        </w:rPr>
        <w:t xml:space="preserve">هزینه AI باید با قیمت‌گذاری Usage پوشش داده شود تا از زیان در مشتریان پرمصرف جلوگیری شود.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مسیر ارتقا واضح: </w:t>
      </w:r>
      <w:r>
        <w:rPr>
          <w:rFonts w:ascii="Arial" w:cs="Arial" w:eastAsia="Arial" w:hAnsi="Arial"/>
          <w:sz w:val="22"/>
          <w:szCs w:val="22"/>
        </w:rPr>
        <w:t xml:space="preserve">از Starter به Business و Professional باید مسیر طبیعی و جذاب وجود داشته باشد.</w:t>
      </w:r>
    </w:p>
    <w:p>
      <w:pPr>
        <w:pStyle w:val="Heading1"/>
      </w:pPr>
      <w:r>
        <w:t xml:space="preserve">۶. ساختار هزینه (Cost Structure)</w:t>
      </w:r>
    </w:p>
    <w:p>
      <w:pPr>
        <w:pStyle w:val="Heading2"/>
      </w:pPr>
      <w:r>
        <w:t xml:space="preserve">هزینه‌های متغیر اصلی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هزینه توکن Providerهای هوش مصنوعی (بزرگ‌ترین هزینه متغیر)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هزینه پردازش و صف (Celery workers / GPU در صورت نیاز)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ذخیره‌سازی فایل و Knowledge Base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پهنای باند و ترافیک</w:t>
      </w:r>
    </w:p>
    <w:p>
      <w:pPr>
        <w:pStyle w:val="Heading2"/>
      </w:pPr>
      <w:r>
        <w:t xml:space="preserve">هزینه‌های ثابت / نیمه‌ثابت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زیرساخت سرور (Docker / Cloud)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تیم توسعه و نگهداری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پشتیبانی مشتری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ابزارهای داخلی (مانیتورینگ، لاگ، امنیت)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بازاریابی و فروش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اصل کلیدی: </w:t>
      </w:r>
      <w:r>
        <w:rPr>
          <w:rFonts w:ascii="Arial" w:cs="Arial" w:eastAsia="Arial" w:hAnsi="Arial"/>
          <w:sz w:val="22"/>
          <w:szCs w:val="22"/>
        </w:rPr>
        <w:t xml:space="preserve">قیمت‌گذاری Usage باید طوری تنظیم شود که حتی مشتریان پرمصرف هم حاشیه مثبت داشته باشند. مانیتورینگ لحظه‌ای هزینه AI ضروری است.</w:t>
      </w:r>
    </w:p>
    <w:p>
      <w:pPr>
        <w:pStyle w:val="Heading1"/>
      </w:pPr>
      <w:r>
        <w:t xml:space="preserve">۷. اقتصاد واحد (Unit Economics)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شاخص‌های کلیدی که باید از روز اول رصد شوند: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شاخص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تعریف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هدف اولیه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ARPA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متوسط درآمد هر حساب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رشد تدریجی با ارتقا پلن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CAC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هزینه جذب هر مشتری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پایین نگه‌داشتن در فاز اولیه (ارگانیک)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LTV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ارزش طول عمر مشتری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LTV &gt; 3 × CAC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حاشیه ناخالص پس از هزینه AI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هدف &gt; 60٪ در مقیاس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Churn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نرخ ریزش ماهانه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کمتر از ۵٪ ماهانه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Payback Period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دوره بازگشت CAC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کمتر از ۶ ماه</w:t>
            </w:r>
          </w:p>
        </w:tc>
      </w:tr>
    </w:tbl>
    <w:p>
      <w:pPr>
        <w:pStyle w:val="Heading1"/>
      </w:pPr>
      <w:r>
        <w:t xml:space="preserve">۸. همسویی با ورود به بازار</w:t>
      </w:r>
    </w:p>
    <w:p>
      <w:pPr>
        <w:pStyle w:val="Heading3"/>
      </w:pPr>
      <w:r>
        <w:t xml:space="preserve">فاز Beta (اعتبارسنجی)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رایگان — هدف: یادگیری، پیدا کردن Product-Market Fit، جمع‌آوری بازخورد از ۳–۵ مشتری واقعی.</w:t>
      </w:r>
    </w:p>
    <w:p>
      <w:pPr>
        <w:pStyle w:val="Heading3"/>
      </w:pPr>
      <w:r>
        <w:t xml:space="preserve">فاز Starter / Business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شروع درآمد واقعی با Report Employee. تمرکز روی SMB و مشاوران.</w:t>
      </w:r>
    </w:p>
    <w:p>
      <w:pPr>
        <w:pStyle w:val="Heading3"/>
      </w:pPr>
      <w:r>
        <w:t xml:space="preserve">فاز رشد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افزودن Employeeهای جدید + کانال‌های بازاریابی (SEO، YouTube، LinkedIn، Referral، همکاری با حسابداران و ERPها).</w:t>
      </w:r>
    </w:p>
    <w:p>
      <w:pPr>
        <w:pStyle w:val="Heading1"/>
      </w:pPr>
      <w:r>
        <w:t xml:space="preserve">۹. کانال‌های فروش و توزیع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وب‌سایت + Demo خودخدمت (Self-serve)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SEO و محتوای آموزشی (مقالات تحلیل اکسل، KPI و ...)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YouTube (آموزش و Demo)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LinkedIn (B2B)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Referral و برنامه معرفی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همکاری با حسابداران، مشاوران کسب‌وکار، شرکت‌های نرم‌افزاری و ERP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فروش مستقیم برای Enterprise</w:t>
      </w:r>
    </w:p>
    <w:p>
      <w:pPr>
        <w:pStyle w:val="Heading1"/>
      </w:pPr>
      <w:r>
        <w:t xml:space="preserve">۱۰. ریسک‌های مرتبط با مدل کسب‌وکار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ریسک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اقدام کاهش ریسک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افزایش ناگهانی هزینه Token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قیمت‌گذاری Usage پویا + مانیتورینگ لحظه‌ای + چند Provider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Churn بالا در پلن‌های ارزان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تمرکز روی فعال‌سازی سریع ارزش در هفته اول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عدم تمایل به پرداخت پس از Beta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طراحی مسیر ارتقا واضح و نمایش ROI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رقابت قیمتی شدید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تمرکز روی تمایز Employee و تجربه، نه فقط قیمت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وابستگی درآمد به یک Employee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نقشه راه سریع برای Document و Invoice Employee</w:t>
            </w:r>
          </w:p>
        </w:tc>
      </w:tr>
    </w:tbl>
    <w:p>
      <w:pPr>
        <w:pStyle w:val="Heading1"/>
      </w:pPr>
      <w:r>
        <w:t xml:space="preserve">۱۱. معیارهای موفقیت مدل کسب‌وکار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دستیابی به اولین درآمد واقعی از Report Employee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MRR رو به رشد ماهانه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Gross Margin پایدار پس از کسر هزینه AI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CAC قابل قبول نسبت به LTV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نرخ تبدیل معنادار از Beta به پلن پولی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حداقل یک قرارداد Enterprise در افق میان‌مدت</w:t>
      </w:r>
    </w:p>
    <w:p>
      <w:pPr>
        <w:pStyle w:val="Heading1"/>
      </w:pPr>
      <w:r>
        <w:t xml:space="preserve">۱۲.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مدل کسب‌وکار مستقیماً با Product Vision، Roadmap، Marketing، Sales و Finance همسو است. هر تغییر در سطوح قیمت‌گذاری یا ساختار درآمد باید در نسخه جدید این سند و در Changelog ثبت شود.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Business Model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02 Business Model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2026-08-05T13:19:15.627Z</dcterms:created>
  <dcterms:modified xsi:type="dcterms:W3CDTF">2026-08-05T13:19:15.627Z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