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10 — AI Core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Core قلب هوشمندی پلتفرم است. مسئولیت آن مدیریت ارتباط با مدل‌های زبانی، ساخت و اجرای Prompt، حافظه، بازیابی دانش (RAG)، ابزارها، قوانین و لایه تأیید انسانی است — به‌گونه‌ای که وابسته به یک Provider خاص نباشد و هر Run کاملاً قابل ردیابی و اندازه‌گیری هزینه باشد.</w:t>
      </w:r>
    </w:p>
    <w:p>
      <w:pPr>
        <w:pStyle w:val="Heading1"/>
      </w:pPr>
      <w:r>
        <w:t xml:space="preserve">۲. اهداف AI 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Provider-Agnostic بودن کامل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رابط یکپارچه برای Chat / Completion / Tool Calling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دقیق Token Usage و Cost per Call و per Run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از Prompt Versioning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Memory کوتاه‌مدت و بلندمدت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RAG روی Knowledge Base هر Tenant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Tool Manager قابل گسترش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Rule Engine و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Human-in-the-Loop (Approval)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قابلیت Replay</w:t>
      </w:r>
    </w:p>
    <w:p>
      <w:pPr>
        <w:pStyle w:val="Heading1"/>
      </w:pPr>
      <w:r>
        <w:t xml:space="preserve">۳. اجزای اصلی AI Core</w:t>
      </w:r>
    </w:p>
    <w:p>
      <w:pPr>
        <w:pStyle w:val="Heading2"/>
      </w:pPr>
      <w:r>
        <w:t xml:space="preserve">۳.۱ AI Gateway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نقطه ورود واحد تمام فراخوانی‌های مدل.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 و مدیریت چندین Provider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Routing بر اساس نوع Task، هزینه، کیفیت یا Policy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Failover خودکار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یکسان‌سازی رابط (messages, tools, response)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 latency، tokens و cost برای هر فراخوانی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پشتیبانی از Streaming (در صورت نیاز آینده)</w:t>
      </w:r>
    </w:p>
    <w:p>
      <w:pPr>
        <w:pStyle w:val="Heading2"/>
      </w:pPr>
      <w:r>
        <w:t xml:space="preserve">۳.۲ Provider Manager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تعریف Provider (OpenAI، Anthropic، مدل متن‌باز، و ...)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کلیدها و تنظیمات به‌صورت امن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اولویت و وزن برای Load Balancing / Fallback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وضعیت سلامت (Health) هر Provider</w:t>
      </w:r>
    </w:p>
    <w:p>
      <w:pPr>
        <w:pStyle w:val="Heading2"/>
      </w:pPr>
      <w:r>
        <w:t xml:space="preserve">۳.۳ Prompt Engine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ذخیره Templateهای نسخه‌بندی‌شده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Variable Injection امن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پشتیبانی از System / User / Assistant messages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امکان A/B یا انتخاب نسخه per Employee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لاگ نسخه Prompt استفاده‌شده در هر Run</w:t>
      </w:r>
    </w:p>
    <w:p>
      <w:pPr>
        <w:pStyle w:val="Heading2"/>
      </w:pPr>
      <w:r>
        <w:t xml:space="preserve">۳.۴ Memory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Short-term Memory: در طول یک Run (context window)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Long-term Memory: خلاصه‌ها یا حقایق مهم per Tenant / Employee (اختیاری در v1)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جداسازی کامل حافظه بین Tenantها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قابلیت پاکسازی و محدودیت حجم</w:t>
      </w:r>
    </w:p>
    <w:p>
      <w:pPr>
        <w:pStyle w:val="Heading2"/>
      </w:pPr>
      <w:r>
        <w:t xml:space="preserve">۳.۵ RAG (Retrieval Augmented Generation)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ایندکس اسناد Knowledge Base هر Tenant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Chunking مناسب + Embedding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جستجوی شباهت (Vector Search)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تزریق Context بازیابی‌شده به Prompt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 منابع استفاده‌شده برای شفافیت</w:t>
      </w:r>
    </w:p>
    <w:p>
      <w:pPr>
        <w:pStyle w:val="Heading2"/>
      </w:pPr>
      <w:r>
        <w:t xml:space="preserve">۳.۶ Tool Manager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 Tools با Schema پارامترها (JSON Schema)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اجرای Tool و برگرداندن نتیجه به مدل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محدودیت Tools مجاز per Employee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لاگ کامل فراخوانی Tool در Trace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نمونه‌های اولیه: خواندن فایل، محاسبه، تولید نمودار metadata و ...</w:t>
      </w:r>
    </w:p>
    <w:p>
      <w:pPr>
        <w:pStyle w:val="Heading2"/>
      </w:pPr>
      <w:r>
        <w:t xml:space="preserve">۳.۷ Rule Engine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قوانین کسب‌وکار قبل/بعد از فراخوانی مدل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محدودیت‌های ایمنی و Policy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قوانین مربوط به هزینه و سهمیه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قابل گسترش بدون تغییر هسته</w:t>
      </w:r>
    </w:p>
    <w:p>
      <w:pPr>
        <w:pStyle w:val="Heading2"/>
      </w:pPr>
      <w:r>
        <w:t xml:space="preserve">۳.۸ Validation Layer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اعتبارسنجی ورودی قبل از ارسال به مدل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اعتبارسنجی ساختاری خروجی (مثلاً JSON Schema)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Retry هوشمند در صورت خروجی نامعتبر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جلوگیری از انتشار نتیجه بی‌کیفیت به کاربر</w:t>
      </w:r>
    </w:p>
    <w:p>
      <w:pPr>
        <w:pStyle w:val="Heading2"/>
      </w:pPr>
      <w:r>
        <w:t xml:space="preserve">۳.۹ Human Approval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توقف Run در نقاط تعریف‌شده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ارسال درخواست تأیید به کاربر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ادامه یا لغو بر اساس تصمیم انسان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ثبت تصمیم در Trace</w:t>
      </w:r>
    </w:p>
    <w:p>
      <w:pPr>
        <w:pStyle w:val="Heading1"/>
      </w:pPr>
      <w:r>
        <w:t xml:space="preserve">۴. جریان اجرای یک درخواست AI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۱. دریافت درخواست از Employee / Workflow با Context (tenant, run_id, input)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۲. اعمال Rule Engine (مجوز، سهمیه، محدودیت)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۳. آماده‌سازی Prompt از Prompt Engine + Variables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۴. در صورت نیاز: بازیابی از RAG و Memory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۵. فراخوانی AI Gateway با Tools مجاز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۶. حلقه Tool Calling تا رسیدن به پاسخ نهایی (با سقف تکرار)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۷. Validation خروجی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۸. در صورت نیاز: Human Approval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۹. ثبت کامل Trace، Tokens، Cost</w:t>
      </w:r>
    </w:p>
    <w:p>
      <w:pPr>
        <w:spacing w:after="35"/>
      </w:pPr>
      <w:r>
        <w:rPr>
          <w:rFonts w:ascii="Arial" w:cs="Arial" w:eastAsia="Arial" w:hAnsi="Arial"/>
          <w:sz w:val="22"/>
          <w:szCs w:val="22"/>
        </w:rPr>
        <w:t xml:space="preserve">۱۰. بازگرداندن نتیجه به لایه بالاتر</w:t>
      </w:r>
    </w:p>
    <w:p>
      <w:pPr>
        <w:pStyle w:val="Heading1"/>
      </w:pPr>
      <w:r>
        <w:t xml:space="preserve">۵. Observability داخل AI Core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فراخوانی مدل یک Span در Trace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Tool Call یک Span جدا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model name، provider، prompt version، token in/out، cost، latency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Replay با همان Prompt و تقریباً همان شرایط (با توجه به غیرفعال بودن مدل)</w:t>
      </w:r>
    </w:p>
    <w:p>
      <w:pPr>
        <w:pStyle w:val="Heading1"/>
      </w:pPr>
      <w:r>
        <w:t xml:space="preserve">۶. کنترل هزینه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انتخاب مدل ارزان‌تر برای Taskهای ساده از طریق Routing Policy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سقف Token per Run و per Tenant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هشدار و توقف هنگام نزدیک شدن به سقف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Cache پاسخ‌های تکراری در موارد امن (اختیاری)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گزارش‌گیری دقیق برای قیمت‌گذاری Usage</w:t>
      </w:r>
    </w:p>
    <w:p>
      <w:pPr>
        <w:pStyle w:val="Heading1"/>
      </w:pPr>
      <w:r>
        <w:t xml:space="preserve">۷. امنیت در AI Core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کامل Context بین Tenantها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عدم نشت داده یک Tenant به Prompt Tenant دیگر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فیلتر و Policy روی داده‌های ارسالی به Provider (در حد ممکن)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رمزنگاری کلیدهای Provider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محدودیت Tools خطرناک</w:t>
      </w:r>
    </w:p>
    <w:p>
      <w:pPr>
        <w:pStyle w:val="Heading1"/>
      </w:pPr>
      <w:r>
        <w:t xml:space="preserve">۸. قابلیت گسترش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افزودن Provider جدید، Tool جدید یا Rule جدید باید بدون تغییر هسته اصلی و فقط با ثبت در سیستم امکان‌پذیر باشد. این اصل برای آینده Employee Builder حیاتی است.</w:t>
      </w:r>
    </w:p>
    <w:p>
      <w:pPr>
        <w:pStyle w:val="Heading1"/>
      </w:pPr>
      <w:r>
        <w:t xml:space="preserve">۹. ارتباط با Employee Framework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هر Employee در زمان اجرا از AI Core استفاده می‌کند. Employee تعیین می‌کند: کدام Prompt، کدام Tools، کدام Knowledge Base و کدام قوانین فعال باشند. AI Core اجراکننده خنثی و قابل مشاهده است.</w:t>
      </w:r>
    </w:p>
    <w:p>
      <w:pPr>
        <w:pStyle w:val="Heading1"/>
      </w:pPr>
      <w:r>
        <w:t xml:space="preserve">۱۰. خارج از محدوده نسخه ۱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آموزش یا Fine-tuning مدل اختصاصی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Agent کاملاً خودمختار چندمرحله‌ای پیچیده بدون محدودیت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از تمام مدل‌های موجود در بازار از روز اول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UI ساخت Prompt برای کاربر نهایی (مربوط به آینده)</w:t>
      </w:r>
    </w:p>
    <w:p>
      <w:pPr>
        <w:pStyle w:val="Heading1"/>
      </w:pPr>
      <w:r>
        <w:t xml:space="preserve">۱۱.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Core مستقیماً با Architecture، Database (جدول providers, prompts, runs)، API، Backend و Employee Framework در ارتباط است. هر تغییر مهم در قرارداد AI Gateway یا مدل Cost باید نسخه‌بندی و در Changelog ثبت 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AI Core v1.0 —</w:t>
      </w:r>
    </w:p>
    <w:p>
      <w:pPr>
        <w:jc w:val="center"/>
      </w:pPr>
      <w:r>
        <w:t>—</w:t>
      </w:r>
    </w:p>
    <w:p>
      <w:r>
        <w:rPr>
          <w:b/>
          <w:color w:val="1B4F72"/>
          <w:sz w:val="28"/>
        </w:rPr>
        <w:t>Revision History — v1.1</w:t>
      </w:r>
    </w:p>
    <w:p>
      <w:pPr>
        <w:spacing w:after="120"/>
      </w:pPr>
      <w:r>
        <w:t>2026-08-05 — v1.1</w:t>
      </w:r>
    </w:p>
    <w:p>
      <w:pPr>
        <w:spacing w:after="120"/>
      </w:pPr>
      <w:r>
        <w:t>• Clarified progressive delivery of Memory and RAG: interfaces and hooks in Phase 1 Core; full retrieval/indexing depth when an Employee requires it (e.g. later Report enhancements or Document Employee).</w:t>
      </w:r>
    </w:p>
    <w:p>
      <w:pPr>
        <w:spacing w:after="120"/>
      </w:pPr>
      <w:r>
        <w:t>• Confirmed Provider-Agnostic design from day one with single Provider wired first.</w:t>
      </w:r>
    </w:p>
    <w:p>
      <w:pPr>
        <w:spacing w:after="120"/>
      </w:pPr>
      <w:r>
        <w:t>• No change to component list or security principles.</w:t>
      </w:r>
    </w:p>
    <w:p>
      <w:r>
        <w:rPr>
          <w:i/>
          <w:color w:val="555555"/>
          <w:sz w:val="20"/>
        </w:rPr>
        <w:t>Status: As-Built / Updated after implementation planning review</w:t>
      </w:r>
    </w:p>
    <w:p>
      <w:r>
        <w:rPr>
          <w:b/>
          <w:color w:val="2874A6"/>
          <w:sz w:val="24"/>
        </w:rPr>
        <w:t>توضیح As-Built — Progressive Memory &amp; RAG</w:t>
      </w:r>
    </w:p>
    <w:p>
      <w:r>
        <w:t>در فاز ۱ (Core) وجود Interface و ثبت‌پذیری Memory/RAG کافی است. پیاده‌سازی کامل Chunking، Embedding و Vector Search زمانی اجباری می‌شود که یک Employee مشخص به آن وابسته باشد. این با اصل Ship Usable, Not Perfect و ترتیب فازها (Core سپس Report Employee) سازگار است.</w:t>
      </w:r>
    </w:p>
    <w:p>
      <w:r>
        <w:t>Revision History — v1.2</w:t>
      </w:r>
    </w:p>
    <w:p>
      <w:r>
        <w:t>2026-08-07 — v1.2</w:t>
      </w:r>
    </w:p>
    <w:p>
      <w:r>
        <w:t>• Added LM Studio as the first local development Provider through the existing provider-agnostic AI Gateway interface.</w:t>
      </w:r>
    </w:p>
    <w:p>
      <w:r>
        <w:t>• Default development provider is now lm_studio with model google/gemma-4-e4b and OpenAI-compatible endpoint http://127.0.0.1:1234/v1.</w:t>
      </w:r>
    </w:p>
    <w:p>
      <w:r>
        <w:t>• Added a Provider Registry so AIGateway no longer imports a concrete provider directly.</w:t>
      </w:r>
    </w:p>
    <w:p>
      <w:r>
        <w:t>• LM Studio calls record latency and reported token usage through the same AIProviderCall and Audit Log path; local inference cost is recorded as USD 0.</w:t>
      </w:r>
    </w:p>
    <w:p>
      <w:r>
        <w:t>• Anthropic remains available as an optional cloud Provider when ANTHROPIC_API_KEY is configured.</w:t>
      </w:r>
    </w:p>
    <w:p>
      <w:r>
        <w:t>Status: As-Built / LM Studio local-provider integration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اجرایی AI Core در As-Built 2026-08-07</w:t>
      </w:r>
    </w:p>
    <w:p>
      <w:r>
        <w:t>• AI Gateway نقطه ورود واحد باقی مانده و مستقیماً به Provider مشخصی وابسته نیست؛ انتخاب Provider از registry انجام می‌شود.</w:t>
      </w:r>
    </w:p>
    <w:p>
      <w:r>
        <w:t>• LMStudioProvider به API سازگار با OpenAI در http://127.0.0.1:1234/v1 متصل شده و مدل توسعه‌ای پیش‌فرض google/gemma-4-e4b است.</w:t>
      </w:r>
    </w:p>
    <w:p>
      <w:r>
        <w:t>• AnthropicProvider همچنان به‌عنوان Provider اختیاری باقی مانده است؛ استفاده از آن نیازمند ANTHROPIC_API_KEY است.</w:t>
      </w:r>
    </w:p>
    <w:p>
      <w:r>
        <w:t>• برای LM Studio هزینه API برابر 0.0 USD ثبت می‌شود، در حالی که latency و token usage گزارش‌شده توسط مدل در AIProviderCall ثبت می‌گردد.</w:t>
      </w:r>
    </w:p>
    <w:p>
      <w:r>
        <w:t>• Failover چندProvider، routing پیشرفته، RAG، memory، tool execution کامل و سایر قابلیت‌های بلندمدت این سند هنوز به‌عنوان قابلیت کامل Production محسوب نمی‌شوند.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p>
      <w:r>
        <w:rPr>
          <w:b/>
        </w:rPr>
        <w:t xml:space="preserve">v0.2.25 As-Built Addendum — </w:t>
      </w:r>
      <w:r>
        <w:t>Durable Employee Memory is now implemented. Memory retrieval is opt-in, tenant/Employee scoped, uses explicit query_fields, and is injected into canonical Prompt + Context Assembly as untrusted reference context.</w:t>
      </w:r>
    </w:p>
    <w:p>
      <w:r>
        <w:t>AS-BUILT ADDENDUM — v0.2.26</w:t>
        <w:br/>
        <w:t>Automatic Employee Memory Extraction &amp; Consolidation</w:t>
      </w:r>
    </w:p>
    <w:p>
      <w:r>
        <w:t>This release adds an explicit, opt-in automatic memory pipeline. After a successful Employee Run, the platform may ask the configured AI provider to extract durable facts, preferences, instructions, or summaries. Candidate memories are schema-validated, bounded, secret-pattern filtered, semantically deduplicated, and conservatively consolidated. Extraction is best-effort and never converts a successful Run into a failed Run.</w:t>
      </w:r>
    </w:p>
    <w:p>
      <w:r>
        <w:t>Security/Policy: automatic extraction is disabled unless EmployeeVersion.rules.memory.enabled=true and auto_extract=true. Candidate count, minimum importance, and deduplication threshold are bounded. Secrets/credentials/token-like values are rejected by the extractor guard. Tenant and Employee scoping remains mandatory.</w:t>
      </w:r>
    </w:p>
    <w:p>
      <w:r>
        <w:t>Observability: the extraction model call is recorded through AIGateway and audit events include memory.auto_extracted or memory.auto_extract_failed.</w:t>
      </w:r>
    </w:p>
    <w:p>
      <w:r>
        <w:t>v0.2.27 As-Built Addendum — Memory Lifecycle &amp; Conflict Handling</w:t>
      </w:r>
    </w:p>
    <w:p>
      <w:r>
        <w:t>The v0.2.27 implementation adds Employee Memory versioning, explicit supersession, expiry lifecycle enforcement, conflict keys/subject keys, and audit-preserved historical memory state. Retrieval is restricted to active, non-expired memories. This addendum records implementation reality; the long-term production roadmap remains broader than the current package.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10 AI Core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2026-08-05T13:37:13.898Z</dcterms:created>
  <dcterms:modified xsi:type="dcterms:W3CDTF">2026-08-05T13:37:13.898Z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