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19 — Finance &amp; Unit Economics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چارچوب مالی پلتفرم را تعریف می‌کند: جریان درآمد، ساختار هزینه، اقتصاد واحد و شاخص‌هایی که باید از روز اول رصد شوند. هدف، رشد درآمد بدون قربانی کردن حاشیه به‌خاطر هزینه Token است.</w:t>
      </w:r>
    </w:p>
    <w:p>
      <w:pPr>
        <w:pStyle w:val="Heading1"/>
      </w:pPr>
      <w:r>
        <w:t xml:space="preserve">۲. جریان‌های درآمد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Setup Fee (در پلن‌های بالاتر / Enterprise)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Subscription (ماهانه / سالانه)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Usage (مصرف بیش از سهمیه: Run، Token، Storage)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Enterprise Contracts (تعهد سالانه + خدمات)</w:t>
      </w:r>
    </w:p>
    <w:p>
      <w:pPr>
        <w:pStyle w:val="Heading1"/>
      </w:pPr>
      <w:r>
        <w:t xml:space="preserve">۳. ساختار هزینه</w:t>
      </w:r>
    </w:p>
    <w:p>
      <w:pPr>
        <w:pStyle w:val="Heading2"/>
      </w:pPr>
      <w:r>
        <w:t xml:space="preserve">متغیر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هزینه Token / AI Provider (مهم‌ترین)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پردازش و Worker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ذخیره‌سازی و پهنای باند</w:t>
      </w:r>
    </w:p>
    <w:p>
      <w:pPr>
        <w:pStyle w:val="Heading2"/>
      </w:pPr>
      <w:r>
        <w:t xml:space="preserve">ثابت / نیمه‌ثابت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زیرساخت سرور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تیم توسعه و پشتیبانی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ابزارها و نرم‌افزارها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بازاریابی و فروش</w:t>
      </w:r>
    </w:p>
    <w:p>
      <w:pPr>
        <w:pStyle w:val="Heading1"/>
      </w:pPr>
      <w:r>
        <w:t xml:space="preserve">۴. اصل حیاتی: پوشش هزینه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قیمت‌گذاری Usage و سهمیه‌های داخل اشتراک باید طوری تنظیم شود که حتی مشتریان پرمصرف هم حاشیه مثبت داشته باشند. مانیتورینگ لحظه‌ای هزینه AI per Tenant و per Run الزامی است.</w:t>
      </w:r>
    </w:p>
    <w:p>
      <w:pPr>
        <w:pStyle w:val="Heading1"/>
      </w:pPr>
      <w:r>
        <w:t xml:space="preserve">۵. شاخص‌های واحد اقتصاد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شاخص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تعریف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هدف اولیه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MRR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درآمد تکرارشونده ماهانه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رشد مداوم پس از Monetization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ARPA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 درآمد هر حساب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رشد با ارتقا پلن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CAC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هزینه جذب مشتری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پایین در فاز ارگانیک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LTV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ارزش طول عمر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LTV &gt; 3×CAC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Gross Margin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حاشیه پس از هزینه AI و متغیر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هدف بلندمدت &gt; 60٪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Churn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نرخ ریزش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کمتر از ۵٪ ماهانه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Payback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بازگشت CAC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کمتر از ۶ ماه</w:t>
            </w:r>
          </w:p>
        </w:tc>
      </w:tr>
    </w:tbl>
    <w:p>
      <w:pPr>
        <w:pStyle w:val="Heading1"/>
      </w:pPr>
      <w:r>
        <w:t xml:space="preserve">۶. داشبورد مالی مدیریتی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حداقل شاخص‌های هفتگی/ماهانه: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MRR و رشد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هزینه AI کل و per Tenant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Gross Margin تقریبی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تعداد مشتریان پولی و توزیع پلن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Usage در مقابل سهمیه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Churn و دلیل‌های اصلی</w:t>
      </w:r>
    </w:p>
    <w:p>
      <w:pPr>
        <w:pStyle w:val="Heading1"/>
      </w:pPr>
      <w:r>
        <w:t xml:space="preserve">۷. سیاست قیمت‌گذاری (خلاصه)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Beta رایگان برای یادگیری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Starter ارزان برای ورود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Business به‌عنوان هسته درآمد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Professional و Enterprise برای حاشیه و LTV بالاتر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Usage برای هم‌راستایی درآمد با مصرف واقعی</w:t>
      </w:r>
    </w:p>
    <w:p>
      <w:pPr>
        <w:pStyle w:val="Heading1"/>
      </w:pPr>
      <w:r>
        <w:t xml:space="preserve">۸. ریسک‌های مالی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افزایش ناگهانی قیمت Token → بازنگری Usage و Routing مدل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مشتریان پرمصرف با حاشیه منفی → سقف و قیمت‌گذاری پویا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Churn بالا در پلن ارزان → بهبود فعال‌سازی و ارزش هفته اول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وابستگی درآمد به یک Employee → گسترش سریع‌تر Employeeها</w:t>
      </w:r>
    </w:p>
    <w:p>
      <w:pPr>
        <w:pStyle w:val="Heading1"/>
      </w:pPr>
      <w:r>
        <w:t xml:space="preserve">۹.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با Business Model، Sales، Marketing، Roadmap و KPIهای Master Plan هم‌راستا است. اعداد دقیق قیمت در نسخه‌های بعدی یا ضمیمه قیمت‌گذاری نهایی می‌شوند.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Finance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19 Finance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2026-08-05T14:02:31.521Z</dcterms:created>
  <dcterms:modified xsi:type="dcterms:W3CDTF">2026-08-05T14:02:31.521Z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