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21 — Cross-Cutting Additions (بازبینی معماری)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 — پیوست بسته‌ی مستندات v1.2</w:t>
      </w:r>
    </w:p>
    <w:p>
      <w:pPr>
        <w:pStyle w:val="Heading1"/>
      </w:pPr>
      <w:r>
        <w:t xml:space="preserve">۱. هدف این سند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این سند نتیجه‌ی بازبینی مجموعه‌ای از پیشنهادهای معماری/زیرساختی (Cross-Cutting Concerns) در برابر اسناد موجود پلتفرم (v1.1) و وضعیت واقعی کد Backend (v0.1.0) است. هدف: مشخص کردن این‌که کدام موارد از قبل در برنامه بوده‌اند، کدام باید اضافه شوند، کدام به فاز بعد موکول می‌شوند و کدام رد می‌شوند — به همراه دلیل و فاز اجرا.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این سند جایگزین اسناد ۰۴ (Architecture)، ۱۰ (AI Core)، ۱۱ (Employee Framework)، ۱۲ (Workflow Engine) و ۱۴ (Security) نیست؛ مکمل آن‌هاست و در بازنویسی‌های بعدی محتوای مصوب آن به داخل اسناد اصلی منتقل خواهد شد.</w:t>
      </w:r>
    </w:p>
    <w:p>
      <w:pPr>
        <w:pStyle w:val="Heading1"/>
      </w:pPr>
      <w:r>
        <w:t xml:space="preserve">۲. جدول تصمیمات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900"/>
        <w:gridCol w:w="1738"/>
      </w:tblGrid>
      <w:tr>
        <w:tc>
          <w:tcPr>
            <w:tcW w:type="dxa" w:w="2400"/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مورد پیشنهادی</w:t>
            </w:r>
          </w:p>
        </w:tc>
        <w:tc>
          <w:tcPr>
            <w:tcW w:type="dxa" w:w="2600"/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وضعیت نسبت به اسناد v1.1</w:t>
            </w:r>
          </w:p>
        </w:tc>
        <w:tc>
          <w:tcPr>
            <w:tcW w:type="dxa" w:w="2900"/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تصمیم</w:t>
            </w:r>
          </w:p>
        </w:tc>
        <w:tc>
          <w:tcPr>
            <w:tcW w:type="dxa" w:w="1738"/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فاز اجرا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Domain-Driven Design برای مرزبندی دامنه‌ها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مرزبندی دامنه‌ای از قبل در معماری وجود دارد (AI Core / Workflow / Employee Framework / Identity)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پذیرفته شد — به‌صورت DDD-lite (بدون الگوهای تاکتیکی سنگین)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فاز اول (رسمی‌سازی ساختار پکیج‌ها)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Bus داخلی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Trigger در سند 12 به‌عنوان «نسخه‌های بعدی» ذکر شده بود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پذیرفته شد — نسخه‌ی سبک (Redis pub/sub)، نه صف پیام سنگین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فاز دوم (هم‌زمان با Workflow Engine)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Runtime مستقل (Planner→Executor→Tool Manager)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مدل اجرای فعلی Employee خطی است (سند 11، بخش 5)، نه یک حلقه‌ی خودمختار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به‌تعویق افتاد — طراحی خطی v1 حفظ می‌شود؛ Agent Runtime برای فاز بعد از اثبات v1 رزرو شد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فاز سوم (Post-MVP)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Plugin System برای Employeeها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هم‌سو با System/Custom Employee (سند 11، بخش 6)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پذیرفته شد — اول Contract رسمی Employee، بعد Plugin loader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فاز دوم (طراحی Contract) / فاز سوم (Loader)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Versioning برای Workflow و Prompt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از قبل در سند 10 و سند 12 مصوب بود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بدون تغییر — فقط تثبیت به‌عنوان الزام غیرقابل‌حذف MVP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فاز اول (از ابتدای پیاده‌سازی)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سراسری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فقط اشاره‌ی سطحی در سند 14؛ ماژول مستقل نبود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پذیرفته شد و ارتقا یافت به ماژول Core مستقل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فاز اول (قبل از اولین Run واقعی)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Dashboard برای AI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داده‌اش در سند 10 (AI Gateway) از قبل طراحی شده بود؛ فقط UI کم بود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پذیرفته شد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فاز دوم (بعد از فعال شدن AI Gateway)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در اسناد نبود؛ نیاز ضمنی برای پلن‌بندی و A/B Prompt وجود داشت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پذیرفته شد — پیاده‌سازی سبک (بدون ابزار ثالث)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فاز دوم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Orchestration پیشرفته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هم‌پوشانی کامل با Workflow Engine (سند 12)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رد شد به‌عنوان سیستم جدا — همان Workflow Engine طبق سند 12 تکمیل می‌شود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Telemetry و Observability کامل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از قبل هدف #4 سند معماری (سند 04) و بخش Developer Tools نقشه‌راه (سند 03) بود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بدون تغییر — تثبیت به‌عنوان الزام غیرقابل‌حذف MVP</w:t>
            </w:r>
          </w:p>
        </w:tc>
        <w:tc>
          <w:tcPr>
            <w:tcW w:type="dxa" w:w="17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فاز اول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۳. جزئیات تصمیمات پذیرفته‌شده</w:t>
      </w:r>
    </w:p>
    <w:p>
      <w:pPr>
        <w:pStyle w:val="Heading2"/>
      </w:pPr>
      <w:r>
        <w:t xml:space="preserve">۳.۱ DDD-lite برای مرزبندی دامنه‌ها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مرزهای Domain همان چهار دامنه‌ی موجود در سند معماری هستند: Identity، AI Core، Workflow Engine، Employee Framework. هر دامنه به‌عنوان یک پکیج مستقل با API داخلی مشخص پیاده می‌شود؛ بدون Aggregate Root یا Repository Pattern سنگین در این مرحله.</w:t>
      </w:r>
    </w:p>
    <w:p>
      <w:pPr>
        <w:pStyle w:val="Heading2"/>
      </w:pPr>
      <w:r>
        <w:t xml:space="preserve">۳.۲ Event Bus داخلی (سبک)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پیاده‌سازی اولیه با Redis pub/sub در کنار Celery موجود. رویدادهای اولیه: run.completed، run.failed، employee.version_published، workflow.run.status_changed. مصرف‌کنندگان اولیه: Audit Log و Workflow Event Trigger.</w:t>
      </w:r>
    </w:p>
    <w:p>
      <w:pPr>
        <w:pStyle w:val="Heading2"/>
      </w:pPr>
      <w:r>
        <w:t xml:space="preserve">۳.۳ Plugin-ready Employee Contract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پیش از ساخت Plugin Loader واقعی، هر Employee (حتی System Employee فعلی مثل Report Employee) باید طبق یک Contract رسمی تعریف شود: Input Schema، Output Schema، Tools مجاز، Prompt version، Rules. این کار هزینه‌ی مهاجرت به Plugin System را در آینده تقریباً صفر می‌کند.</w:t>
      </w:r>
    </w:p>
    <w:p>
      <w:pPr>
        <w:pStyle w:val="Heading2"/>
      </w:pPr>
      <w:r>
        <w:t xml:space="preserve">۳.۴ Audit Log سراسری (ماژول Core)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یک جدول audit_log مستقل با فیلدهای حداقلی: tenant_id، actor (user/system)، action، resource_type، resource_id، metadata (JSON)، created_at. ثبت خودکار از طریق middleware برای تمام عملیات حساس (auth، تغییر نقش، اجرای Employee، تغییر تنظیمات Tenant، فراخوانی AI Provider).</w:t>
      </w:r>
    </w:p>
    <w:p>
      <w:pPr>
        <w:pStyle w:val="Heading2"/>
      </w:pPr>
      <w:r>
        <w:t xml:space="preserve">۳.۵ Cost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لایه‌ی نمایش روی داده‌ای که AI Gateway از قبل ثبت می‌کند (token usage و cost per call/run). بعد از فعال شدن AI Gateway در فاز دوم ساخته می‌شود؛ داده نیازی به تغییر مدل ندارد.</w:t>
      </w:r>
    </w:p>
    <w:p>
      <w:pPr>
        <w:pStyle w:val="Heading2"/>
      </w:pPr>
      <w:r>
        <w:t xml:space="preserve">۳.۶ Feature Flags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یک جدول ساده feature_flags (کلید، scope: global/tenant، وضعیت boolean یا درصد rollout). مصرف اولیه: کنترل دسترسی به Employee بر اساس پلن، و انتخاب نسخه‌ی Prompt برای A/B که در سند ۱۰ پیش‌بینی شده بود.</w:t>
      </w:r>
    </w:p>
    <w:p>
      <w:pPr>
        <w:pStyle w:val="Heading1"/>
      </w:pPr>
      <w:r>
        <w:t xml:space="preserve">۴. موارد به‌تعویق‌افتاده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Runtime مستقل (Planner → Executor → Tool Manager) به فاز بعد از اثبات v1 موکول شد. مدل اجرای فعلی Employee (خطی: Load → Validate → Execute via AI Core → Validate Output) و Workflow Engine برای چندمرحله‌ای بودن در سطح فرآیند کافی است. تبدیل Employee به Agent خودمختار یک تغییر پارادایم است و باید بر اساس نیاز واقعی یک Employee مشخص (نه پیش‌فرض) طراحی شود.</w:t>
      </w:r>
    </w:p>
    <w:p>
      <w:pPr>
        <w:pStyle w:val="Heading1"/>
      </w:pPr>
      <w:r>
        <w:t xml:space="preserve">۵. موارد رد شده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Orchestration پیشرفته به‌عنوان سیستم مجزا رد شد؛ محدوده‌ی آن با Workflow Engine (سند ۱۲: Retry/Backoff، Error Handling، Compensation، Schedule) هم‌پوشانی کامل دارد. ساخت دو سیستم موازی برای orchestration باعث دوباره‌کاری و ابهام مسئولیت می‌شود. در صورت نیاز آینده، قابلیت‌های جدید orchestration باید به‌عنوان توسعه‌ی سند ۱۲ اضافه شوند، نه یک ماژول جدید.</w:t>
      </w:r>
    </w:p>
    <w:p>
      <w:pPr>
        <w:pStyle w:val="Heading1"/>
      </w:pPr>
      <w:r>
        <w:t xml:space="preserve">۶. بدون تغییر (از قبل تثبیت‌شده)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دو مورد از قبل بخشی از اسناد بودند و صرفاً در این بازبینی به‌عنوان الزام غیرقابل‌حذف MVP تثبیت شدند: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Versioning برای Prompt و Workflow — سند ۱۰ (بخش ۳.۳) و سند ۱۲ (بخش ۱۲)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Telemetry و Observability کامل (Trace, Cost, Replay) — سند ۰۴ (هدف #۴) و سند ۰۳ (Developer Tools، فاز اول)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دلیل تثبیت: این دو قابلیت بعد از تولید داده‌ی تاریخی بسیار سخت retrofit می‌شوند؛ باید از همان اولین Run واقعی فعال باشند.</w:t>
      </w:r>
    </w:p>
    <w:p>
      <w:pPr>
        <w:pStyle w:val="Heading1"/>
      </w:pPr>
      <w:r>
        <w:t xml:space="preserve">۷. اثر بر نقشه‌راه (سند ۰۳)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فاز اول (Core) بدون تغییر در محدوده باقی می‌ماند، با این افزوده‌ها: Audit Log ماژول مستقل، Versioning و Telemetry/Trace/Cost به‌عنوان الزام (نه Nice-to-have).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فاز دوم اضافه می‌شود: Event Bus سبک، Cost Dashboard، Feature Flags، Employee Contract رسمی.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فاز سوم (Post-MVP) اضافه می‌شود: Plugin Loader کامل، Agent Runtime مستقل.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2026-08-06T08:32:57.038Z</dcterms:created>
  <dcterms:modified xsi:type="dcterms:W3CDTF">2026-08-06T08:32:57.050Z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