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Roboto" w:hAnsi="Roboto"/>
          <w:b/>
          <w:color w:val="003450"/>
          <w:sz w:val="48"/>
        </w:rPr>
        <w:t>SAES Asset Register</w:t>
      </w:r>
    </w:p>
    <w:p>
      <w:pPr>
        <w:spacing w:after="240"/>
      </w:pPr>
      <w:r>
        <w:rPr>
          <w:rFonts w:ascii="Roboto" w:hAnsi="Roboto"/>
          <w:b/>
          <w:color w:val="E12D3C"/>
          <w:sz w:val="32"/>
        </w:rPr>
        <w:t>Client Progress Report</w:t>
      </w:r>
    </w:p>
    <w:p>
      <w:pPr>
        <w:spacing w:after="360"/>
      </w:pPr>
      <w:r>
        <w:rPr>
          <w:rFonts w:ascii="Roboto" w:hAnsi="Roboto"/>
          <w:b w:val="0"/>
          <w:color w:val="5F6673"/>
          <w:sz w:val="21"/>
        </w:rPr>
        <w:t>Prepared for client review | 26 June 2026</w:t>
      </w:r>
    </w:p>
    <w:p>
      <w:pPr>
        <w:spacing w:after="120" w:line="269" w:lineRule="auto"/>
      </w:pPr>
      <w:r>
        <w:rPr>
          <w:rFonts w:ascii="Roboto" w:hAnsi="Roboto"/>
          <w:b w:val="0"/>
          <w:color w:val="191919"/>
          <w:sz w:val="22"/>
        </w:rPr>
        <w:t>This report summarises build progress for the Salvation Emergency Services Asset Register and provides a client-facing view of where the product stands today.</w:t>
      </w:r>
    </w:p>
    <w:p>
      <w:pPr>
        <w:spacing w:before="240" w:after="120"/>
      </w:pPr>
      <w:r>
        <w:rPr>
          <w:rFonts w:ascii="Roboto" w:hAnsi="Roboto"/>
          <w:b/>
          <w:color w:val="003450"/>
          <w:sz w:val="32"/>
        </w:rPr>
        <w:t>Executive Summary</w:t>
      </w:r>
    </w:p>
    <w:p>
      <w:pPr>
        <w:spacing w:after="120" w:line="269" w:lineRule="auto"/>
      </w:pPr>
      <w:r>
        <w:rPr>
          <w:rFonts w:ascii="Roboto" w:hAnsi="Roboto"/>
          <w:b w:val="0"/>
          <w:color w:val="191919"/>
          <w:sz w:val="22"/>
        </w:rPr>
        <w:t>The core application build is now 85.0% complete, covering login, assets, consumables, maintenance, deployments, attachments, dashboard, and offline foundations.</w:t>
      </w:r>
    </w:p>
    <w:p>
      <w:pPr>
        <w:spacing w:after="120" w:line="269" w:lineRule="auto"/>
      </w:pPr>
      <w:r>
        <w:rPr>
          <w:rFonts w:ascii="Roboto" w:hAnsi="Roboto"/>
          <w:b w:val="0"/>
          <w:color w:val="191919"/>
          <w:sz w:val="22"/>
        </w:rPr>
        <w:t>Across the broader implementation build, the project is 71.8% complete. Across the full end-to-end delivery checklist, which also includes documentation, deployment, training, and client rollout readiness, overall completion is 50.8%.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fill="FFF4E5"/>
            <w:vAlign w:val="center"/>
          </w:tcPr>
          <w:p>
            <w:pPr>
              <w:spacing w:after="60"/>
            </w:pPr>
            <w:r>
              <w:rPr>
                <w:rFonts w:ascii="Roboto" w:hAnsi="Roboto"/>
                <w:b/>
                <w:color w:val="003450"/>
                <w:sz w:val="21"/>
              </w:rPr>
              <w:t>Testing readiness</w:t>
            </w:r>
          </w:p>
          <w:p>
            <w:pPr>
              <w:spacing w:after="0"/>
            </w:pPr>
            <w:r>
              <w:rPr>
                <w:rFonts w:ascii="Roboto" w:hAnsi="Roboto"/>
                <w:b w:val="0"/>
                <w:color w:val="191919"/>
                <w:sz w:val="21"/>
              </w:rPr>
              <w:t>The application is now strong enough for a guided preview and internal QA, but it is not yet at the point I would classify as formal client testing readiness. The remaining work is mainly around audit trail completion, reporting/export, deeper test coverage, and deployment/handoff polish.</w:t>
            </w:r>
          </w:p>
        </w:tc>
      </w:tr>
    </w:tbl>
    <w:p>
      <w:pPr>
        <w:spacing w:before="240" w:after="120"/>
      </w:pPr>
      <w:r>
        <w:rPr>
          <w:rFonts w:ascii="Roboto" w:hAnsi="Roboto"/>
          <w:b/>
          <w:color w:val="003450"/>
          <w:sz w:val="32"/>
        </w:rPr>
        <w:t>Progress Snapshot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1800"/>
        <w:gridCol w:w="1728"/>
        <w:gridCol w:w="3096"/>
      </w:tblGrid>
      <w:tr>
        <w:tc>
          <w:tcPr>
            <w:tcW w:type="dxa" w:w="2340"/>
            <w:vAlign w:val="center"/>
            <w:shd w:fill="F4F4F4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003450"/>
                <w:sz w:val="21"/>
              </w:rPr>
              <w:t>Measure</w:t>
            </w:r>
          </w:p>
        </w:tc>
        <w:tc>
          <w:tcPr>
            <w:tcW w:type="dxa" w:w="2340"/>
            <w:vAlign w:val="center"/>
            <w:shd w:fill="F4F4F4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003450"/>
                <w:sz w:val="21"/>
              </w:rPr>
              <w:t>Progress</w:t>
            </w:r>
          </w:p>
        </w:tc>
        <w:tc>
          <w:tcPr>
            <w:tcW w:type="dxa" w:w="2340"/>
            <w:vAlign w:val="center"/>
            <w:shd w:fill="F4F4F4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003450"/>
                <w:sz w:val="21"/>
              </w:rPr>
              <w:t>Status</w:t>
            </w:r>
          </w:p>
        </w:tc>
        <w:tc>
          <w:tcPr>
            <w:tcW w:type="dxa" w:w="2340"/>
            <w:vAlign w:val="center"/>
            <w:shd w:fill="F4F4F4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003450"/>
                <w:sz w:val="21"/>
              </w:rPr>
              <w:t>Notes</w:t>
            </w:r>
          </w:p>
        </w:tc>
      </w:tr>
      <w:tr>
        <w:tc>
          <w:tcPr>
            <w:tcW w:type="dxa" w:w="2736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Core application build</w:t>
            </w:r>
          </w:p>
        </w:tc>
        <w:tc>
          <w:tcPr>
            <w:tcW w:type="dxa" w:w="1800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85.0%</w:t>
            </w:r>
          </w:p>
        </w:tc>
        <w:tc>
          <w:tcPr>
            <w:tcW w:type="dxa" w:w="172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4F7FB"/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Preview-ready</w:t>
            </w:r>
          </w:p>
        </w:tc>
        <w:tc>
          <w:tcPr>
            <w:tcW w:type="dxa" w:w="3096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Main operational modules are in place and usable for guided review.</w:t>
            </w:r>
          </w:p>
        </w:tc>
      </w:tr>
      <w:tr>
        <w:tc>
          <w:tcPr>
            <w:tcW w:type="dxa" w:w="2736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Implementation build</w:t>
            </w:r>
          </w:p>
        </w:tc>
        <w:tc>
          <w:tcPr>
            <w:tcW w:type="dxa" w:w="1800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71.8%</w:t>
            </w:r>
          </w:p>
        </w:tc>
        <w:tc>
          <w:tcPr>
            <w:tcW w:type="dxa" w:w="172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FF4E5"/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In progress</w:t>
            </w:r>
          </w:p>
        </w:tc>
        <w:tc>
          <w:tcPr>
            <w:tcW w:type="dxa" w:w="3096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Build work is well advanced, but testing and operational polish are still active.</w:t>
            </w:r>
          </w:p>
        </w:tc>
      </w:tr>
      <w:tr>
        <w:tc>
          <w:tcPr>
            <w:tcW w:type="dxa" w:w="2736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Full project checklist</w:t>
            </w:r>
          </w:p>
        </w:tc>
        <w:tc>
          <w:tcPr>
            <w:tcW w:type="dxa" w:w="1800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50.8%</w:t>
            </w:r>
          </w:p>
        </w:tc>
        <w:tc>
          <w:tcPr>
            <w:tcW w:type="dxa" w:w="172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FF4E5"/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Mid-project</w:t>
            </w:r>
          </w:p>
        </w:tc>
        <w:tc>
          <w:tcPr>
            <w:tcW w:type="dxa" w:w="3096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Includes deployment, handoff, documentation, training, and broader readiness work.</w:t>
            </w:r>
          </w:p>
        </w:tc>
      </w:tr>
    </w:tbl>
    <w:p>
      <w:pPr>
        <w:spacing w:before="240" w:after="120"/>
      </w:pPr>
      <w:r>
        <w:rPr>
          <w:rFonts w:ascii="Roboto" w:hAnsi="Roboto"/>
          <w:b/>
          <w:color w:val="003450"/>
          <w:sz w:val="32"/>
        </w:rPr>
        <w:t>What Is Already Working</w:t>
      </w:r>
    </w:p>
    <w:p>
      <w:pPr>
        <w:pStyle w:val="ListBullet"/>
        <w:spacing w:after="80" w:line="269" w:lineRule="auto"/>
      </w:pPr>
      <w:r>
        <w:rPr>
          <w:rFonts w:ascii="Roboto" w:hAnsi="Roboto"/>
          <w:b w:val="0"/>
          <w:color w:val="191919"/>
          <w:sz w:val="22"/>
        </w:rPr>
        <w:t>Supabase-backed login with a working QA account for internal review.</w:t>
      </w:r>
    </w:p>
    <w:p>
      <w:pPr>
        <w:pStyle w:val="ListBullet"/>
        <w:spacing w:after="80" w:line="269" w:lineRule="auto"/>
      </w:pPr>
      <w:r>
        <w:rPr>
          <w:rFonts w:ascii="Roboto" w:hAnsi="Roboto"/>
          <w:b w:val="0"/>
          <w:color w:val="191919"/>
          <w:sz w:val="22"/>
        </w:rPr>
        <w:t>Asset management, including fleet/plant records and parent-child asset relationships.</w:t>
      </w:r>
    </w:p>
    <w:p>
      <w:pPr>
        <w:pStyle w:val="ListBullet"/>
        <w:spacing w:after="80" w:line="269" w:lineRule="auto"/>
      </w:pPr>
      <w:r>
        <w:rPr>
          <w:rFonts w:ascii="Roboto" w:hAnsi="Roboto"/>
          <w:b w:val="0"/>
          <w:color w:val="191919"/>
          <w:sz w:val="22"/>
        </w:rPr>
        <w:t>Consumable batch tracking, stock movement logic, and threshold alert foundations.</w:t>
      </w:r>
    </w:p>
    <w:p>
      <w:pPr>
        <w:pStyle w:val="ListBullet"/>
        <w:spacing w:after="80" w:line="269" w:lineRule="auto"/>
      </w:pPr>
      <w:r>
        <w:rPr>
          <w:rFonts w:ascii="Roboto" w:hAnsi="Roboto"/>
          <w:b w:val="0"/>
          <w:color w:val="191919"/>
          <w:sz w:val="22"/>
        </w:rPr>
        <w:t>Maintenance schedules, maintenance records, and approved vendor management.</w:t>
      </w:r>
    </w:p>
    <w:p>
      <w:pPr>
        <w:pStyle w:val="ListBullet"/>
        <w:spacing w:after="80" w:line="269" w:lineRule="auto"/>
      </w:pPr>
      <w:r>
        <w:rPr>
          <w:rFonts w:ascii="Roboto" w:hAnsi="Roboto"/>
          <w:b w:val="0"/>
          <w:color w:val="191919"/>
          <w:sz w:val="22"/>
        </w:rPr>
        <w:t>Deployment workflows linking assets and consumables to operational events.</w:t>
      </w:r>
    </w:p>
    <w:p>
      <w:pPr>
        <w:pStyle w:val="ListBullet"/>
        <w:spacing w:after="80" w:line="269" w:lineRule="auto"/>
      </w:pPr>
      <w:r>
        <w:rPr>
          <w:rFonts w:ascii="Roboto" w:hAnsi="Roboto"/>
          <w:b w:val="0"/>
          <w:color w:val="191919"/>
          <w:sz w:val="22"/>
        </w:rPr>
        <w:t>Attachments and document handling across operational records.</w:t>
      </w:r>
    </w:p>
    <w:p>
      <w:pPr>
        <w:pStyle w:val="ListBullet"/>
        <w:spacing w:after="80" w:line="269" w:lineRule="auto"/>
      </w:pPr>
      <w:r>
        <w:rPr>
          <w:rFonts w:ascii="Roboto" w:hAnsi="Roboto"/>
          <w:b w:val="0"/>
          <w:color w:val="191919"/>
          <w:sz w:val="22"/>
        </w:rPr>
        <w:t>Offline mutation queue and sync engine foundations.</w:t>
      </w:r>
    </w:p>
    <w:p>
      <w:pPr>
        <w:pStyle w:val="ListBullet"/>
        <w:spacing w:after="80" w:line="269" w:lineRule="auto"/>
      </w:pPr>
      <w:r>
        <w:rPr>
          <w:rFonts w:ascii="Roboto" w:hAnsi="Roboto"/>
          <w:b w:val="0"/>
          <w:color w:val="191919"/>
          <w:sz w:val="22"/>
        </w:rPr>
        <w:t>Operational dashboard with alert-oriented summary views.</w:t>
      </w:r>
    </w:p>
    <w:p>
      <w:pPr>
        <w:spacing w:before="240" w:after="120"/>
      </w:pPr>
      <w:r>
        <w:rPr>
          <w:rFonts w:ascii="Roboto" w:hAnsi="Roboto"/>
          <w:b/>
          <w:color w:val="003450"/>
          <w:sz w:val="32"/>
        </w:rPr>
        <w:t>Module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1440"/>
        <w:gridCol w:w="2088"/>
        <w:gridCol w:w="2304"/>
      </w:tblGrid>
      <w:tr>
        <w:tc>
          <w:tcPr>
            <w:tcW w:type="dxa" w:w="2340"/>
            <w:vAlign w:val="center"/>
            <w:shd w:fill="F4F4F4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003450"/>
                <w:sz w:val="20"/>
              </w:rPr>
              <w:t>Module</w:t>
            </w:r>
          </w:p>
        </w:tc>
        <w:tc>
          <w:tcPr>
            <w:tcW w:type="dxa" w:w="2340"/>
            <w:vAlign w:val="center"/>
            <w:shd w:fill="F4F4F4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003450"/>
                <w:sz w:val="20"/>
              </w:rPr>
              <w:t>Percent</w:t>
            </w:r>
          </w:p>
        </w:tc>
        <w:tc>
          <w:tcPr>
            <w:tcW w:type="dxa" w:w="2340"/>
            <w:vAlign w:val="center"/>
            <w:shd w:fill="F4F4F4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003450"/>
                <w:sz w:val="20"/>
              </w:rPr>
              <w:t>Status</w:t>
            </w:r>
          </w:p>
        </w:tc>
        <w:tc>
          <w:tcPr>
            <w:tcW w:type="dxa" w:w="2340"/>
            <w:vAlign w:val="center"/>
            <w:shd w:fill="F4F4F4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003450"/>
                <w:sz w:val="20"/>
              </w:rPr>
              <w:t>Checklist</w:t>
            </w:r>
          </w:p>
        </w:tc>
      </w:tr>
      <w:tr>
        <w:tc>
          <w:tcPr>
            <w:tcW w:type="dxa" w:w="352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Technical Foundation</w:t>
            </w:r>
          </w:p>
        </w:tc>
        <w:tc>
          <w:tcPr>
            <w:tcW w:type="dxa" w:w="1440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73.1%</w:t>
            </w:r>
          </w:p>
        </w:tc>
        <w:tc>
          <w:tcPr>
            <w:tcW w:type="dxa" w:w="208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FF4E5"/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In progress</w:t>
            </w:r>
          </w:p>
        </w:tc>
        <w:tc>
          <w:tcPr>
            <w:tcW w:type="dxa" w:w="2304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19/26</w:t>
            </w:r>
          </w:p>
        </w:tc>
      </w:tr>
      <w:tr>
        <w:tc>
          <w:tcPr>
            <w:tcW w:type="dxa" w:w="352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Supabase and Database Foundation</w:t>
            </w:r>
          </w:p>
        </w:tc>
        <w:tc>
          <w:tcPr>
            <w:tcW w:type="dxa" w:w="1440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73.9%</w:t>
            </w:r>
          </w:p>
        </w:tc>
        <w:tc>
          <w:tcPr>
            <w:tcW w:type="dxa" w:w="208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FF4E5"/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In progress</w:t>
            </w:r>
          </w:p>
        </w:tc>
        <w:tc>
          <w:tcPr>
            <w:tcW w:type="dxa" w:w="2304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17/23</w:t>
            </w:r>
          </w:p>
        </w:tc>
      </w:tr>
      <w:tr>
        <w:tc>
          <w:tcPr>
            <w:tcW w:type="dxa" w:w="352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Authentication and Roles</w:t>
            </w:r>
          </w:p>
        </w:tc>
        <w:tc>
          <w:tcPr>
            <w:tcW w:type="dxa" w:w="1440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81.2%</w:t>
            </w:r>
          </w:p>
        </w:tc>
        <w:tc>
          <w:tcPr>
            <w:tcW w:type="dxa" w:w="208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4F7FB"/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Advanced</w:t>
            </w:r>
          </w:p>
        </w:tc>
        <w:tc>
          <w:tcPr>
            <w:tcW w:type="dxa" w:w="2304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13/16</w:t>
            </w:r>
          </w:p>
        </w:tc>
      </w:tr>
      <w:tr>
        <w:tc>
          <w:tcPr>
            <w:tcW w:type="dxa" w:w="352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Locations</w:t>
            </w:r>
          </w:p>
        </w:tc>
        <w:tc>
          <w:tcPr>
            <w:tcW w:type="dxa" w:w="1440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73.7%</w:t>
            </w:r>
          </w:p>
        </w:tc>
        <w:tc>
          <w:tcPr>
            <w:tcW w:type="dxa" w:w="208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FF4E5"/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In progress</w:t>
            </w:r>
          </w:p>
        </w:tc>
        <w:tc>
          <w:tcPr>
            <w:tcW w:type="dxa" w:w="2304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14/19</w:t>
            </w:r>
          </w:p>
        </w:tc>
      </w:tr>
      <w:tr>
        <w:tc>
          <w:tcPr>
            <w:tcW w:type="dxa" w:w="352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Asset Management</w:t>
            </w:r>
          </w:p>
        </w:tc>
        <w:tc>
          <w:tcPr>
            <w:tcW w:type="dxa" w:w="1440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92.7%</w:t>
            </w:r>
          </w:p>
        </w:tc>
        <w:tc>
          <w:tcPr>
            <w:tcW w:type="dxa" w:w="208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E8F3EC"/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Substantially complete</w:t>
            </w:r>
          </w:p>
        </w:tc>
        <w:tc>
          <w:tcPr>
            <w:tcW w:type="dxa" w:w="2304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38/41</w:t>
            </w:r>
          </w:p>
        </w:tc>
      </w:tr>
      <w:tr>
        <w:tc>
          <w:tcPr>
            <w:tcW w:type="dxa" w:w="352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Consumable Batches</w:t>
            </w:r>
          </w:p>
        </w:tc>
        <w:tc>
          <w:tcPr>
            <w:tcW w:type="dxa" w:w="1440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96.4%</w:t>
            </w:r>
          </w:p>
        </w:tc>
        <w:tc>
          <w:tcPr>
            <w:tcW w:type="dxa" w:w="208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E8F3EC"/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Substantially complete</w:t>
            </w:r>
          </w:p>
        </w:tc>
        <w:tc>
          <w:tcPr>
            <w:tcW w:type="dxa" w:w="2304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27/28</w:t>
            </w:r>
          </w:p>
        </w:tc>
      </w:tr>
      <w:tr>
        <w:tc>
          <w:tcPr>
            <w:tcW w:type="dxa" w:w="352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Stock Movements</w:t>
            </w:r>
          </w:p>
        </w:tc>
        <w:tc>
          <w:tcPr>
            <w:tcW w:type="dxa" w:w="1440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89.3%</w:t>
            </w:r>
          </w:p>
        </w:tc>
        <w:tc>
          <w:tcPr>
            <w:tcW w:type="dxa" w:w="208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4F7FB"/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Advanced</w:t>
            </w:r>
          </w:p>
        </w:tc>
        <w:tc>
          <w:tcPr>
            <w:tcW w:type="dxa" w:w="2304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25/28</w:t>
            </w:r>
          </w:p>
        </w:tc>
      </w:tr>
      <w:tr>
        <w:tc>
          <w:tcPr>
            <w:tcW w:type="dxa" w:w="352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Planned Maintenance</w:t>
            </w:r>
          </w:p>
        </w:tc>
        <w:tc>
          <w:tcPr>
            <w:tcW w:type="dxa" w:w="1440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87.1%</w:t>
            </w:r>
          </w:p>
        </w:tc>
        <w:tc>
          <w:tcPr>
            <w:tcW w:type="dxa" w:w="208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4F7FB"/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Advanced</w:t>
            </w:r>
          </w:p>
        </w:tc>
        <w:tc>
          <w:tcPr>
            <w:tcW w:type="dxa" w:w="2304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27/31</w:t>
            </w:r>
          </w:p>
        </w:tc>
      </w:tr>
      <w:tr>
        <w:tc>
          <w:tcPr>
            <w:tcW w:type="dxa" w:w="352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Deployments</w:t>
            </w:r>
          </w:p>
        </w:tc>
        <w:tc>
          <w:tcPr>
            <w:tcW w:type="dxa" w:w="1440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95.2%</w:t>
            </w:r>
          </w:p>
        </w:tc>
        <w:tc>
          <w:tcPr>
            <w:tcW w:type="dxa" w:w="208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E8F3EC"/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Substantially complete</w:t>
            </w:r>
          </w:p>
        </w:tc>
        <w:tc>
          <w:tcPr>
            <w:tcW w:type="dxa" w:w="2304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20/21</w:t>
            </w:r>
          </w:p>
        </w:tc>
      </w:tr>
      <w:tr>
        <w:tc>
          <w:tcPr>
            <w:tcW w:type="dxa" w:w="352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QR Codes and Scanning</w:t>
            </w:r>
          </w:p>
        </w:tc>
        <w:tc>
          <w:tcPr>
            <w:tcW w:type="dxa" w:w="1440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76.5%</w:t>
            </w:r>
          </w:p>
        </w:tc>
        <w:tc>
          <w:tcPr>
            <w:tcW w:type="dxa" w:w="208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4F7FB"/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Advanced</w:t>
            </w:r>
          </w:p>
        </w:tc>
        <w:tc>
          <w:tcPr>
            <w:tcW w:type="dxa" w:w="2304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13/17</w:t>
            </w:r>
          </w:p>
        </w:tc>
      </w:tr>
      <w:tr>
        <w:tc>
          <w:tcPr>
            <w:tcW w:type="dxa" w:w="352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Attachments, Photos, and Documents</w:t>
            </w:r>
          </w:p>
        </w:tc>
        <w:tc>
          <w:tcPr>
            <w:tcW w:type="dxa" w:w="1440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100.0%</w:t>
            </w:r>
          </w:p>
        </w:tc>
        <w:tc>
          <w:tcPr>
            <w:tcW w:type="dxa" w:w="208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E8F3EC"/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Substantially complete</w:t>
            </w:r>
          </w:p>
        </w:tc>
        <w:tc>
          <w:tcPr>
            <w:tcW w:type="dxa" w:w="2304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17/17</w:t>
            </w:r>
          </w:p>
        </w:tc>
      </w:tr>
      <w:tr>
        <w:tc>
          <w:tcPr>
            <w:tcW w:type="dxa" w:w="352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Offline-First and Sync</w:t>
            </w:r>
          </w:p>
        </w:tc>
        <w:tc>
          <w:tcPr>
            <w:tcW w:type="dxa" w:w="1440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72.7%</w:t>
            </w:r>
          </w:p>
        </w:tc>
        <w:tc>
          <w:tcPr>
            <w:tcW w:type="dxa" w:w="208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FF4E5"/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In progress</w:t>
            </w:r>
          </w:p>
        </w:tc>
        <w:tc>
          <w:tcPr>
            <w:tcW w:type="dxa" w:w="2304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16/22</w:t>
            </w:r>
          </w:p>
        </w:tc>
      </w:tr>
      <w:tr>
        <w:tc>
          <w:tcPr>
            <w:tcW w:type="dxa" w:w="352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Dashboard</w:t>
            </w:r>
          </w:p>
        </w:tc>
        <w:tc>
          <w:tcPr>
            <w:tcW w:type="dxa" w:w="1440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85.7%</w:t>
            </w:r>
          </w:p>
        </w:tc>
        <w:tc>
          <w:tcPr>
            <w:tcW w:type="dxa" w:w="208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4F7FB"/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Advanced</w:t>
            </w:r>
          </w:p>
        </w:tc>
        <w:tc>
          <w:tcPr>
            <w:tcW w:type="dxa" w:w="2304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12/14</w:t>
            </w:r>
          </w:p>
        </w:tc>
      </w:tr>
      <w:tr>
        <w:tc>
          <w:tcPr>
            <w:tcW w:type="dxa" w:w="352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/>
                <w:color w:val="191919"/>
                <w:sz w:val="20"/>
              </w:rPr>
              <w:t>Testing</w:t>
            </w:r>
          </w:p>
        </w:tc>
        <w:tc>
          <w:tcPr>
            <w:tcW w:type="dxa" w:w="1440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31.8%</w:t>
            </w:r>
          </w:p>
        </w:tc>
        <w:tc>
          <w:tcPr>
            <w:tcW w:type="dxa" w:w="2088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fill="FFF4E5"/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Early</w:t>
            </w:r>
          </w:p>
        </w:tc>
        <w:tc>
          <w:tcPr>
            <w:tcW w:type="dxa" w:w="2304"/>
            <w:vAlign w:val="center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>
            <w:pPr>
              <w:spacing w:after="0"/>
            </w:pPr>
            <w:r/>
            <w:r>
              <w:rPr>
                <w:rFonts w:ascii="Roboto" w:hAnsi="Roboto"/>
                <w:b w:val="0"/>
                <w:color w:val="191919"/>
                <w:sz w:val="20"/>
              </w:rPr>
              <w:t>7/22</w:t>
            </w:r>
          </w:p>
        </w:tc>
      </w:tr>
    </w:tbl>
    <w:p>
      <w:pPr>
        <w:spacing w:before="240" w:after="120"/>
      </w:pPr>
      <w:r>
        <w:rPr>
          <w:rFonts w:ascii="Roboto" w:hAnsi="Roboto"/>
          <w:b/>
          <w:color w:val="003450"/>
          <w:sz w:val="32"/>
        </w:rPr>
        <w:t>Before Formal Client Testing</w:t>
      </w:r>
    </w:p>
    <w:p>
      <w:pPr>
        <w:pStyle w:val="ListBullet"/>
        <w:spacing w:after="80" w:line="269" w:lineRule="auto"/>
      </w:pPr>
      <w:r>
        <w:rPr>
          <w:rFonts w:ascii="Roboto" w:hAnsi="Roboto"/>
          <w:b w:val="0"/>
          <w:color w:val="191919"/>
          <w:sz w:val="22"/>
        </w:rPr>
        <w:t>Finish the audit trail module and its related reporting surfaces.</w:t>
      </w:r>
    </w:p>
    <w:p>
      <w:pPr>
        <w:pStyle w:val="ListBullet"/>
        <w:spacing w:after="80" w:line="269" w:lineRule="auto"/>
      </w:pPr>
      <w:r>
        <w:rPr>
          <w:rFonts w:ascii="Roboto" w:hAnsi="Roboto"/>
          <w:b w:val="0"/>
          <w:color w:val="191919"/>
          <w:sz w:val="22"/>
        </w:rPr>
        <w:t>Complete reporting/export screens and validate the expected output set.</w:t>
      </w:r>
    </w:p>
    <w:p>
      <w:pPr>
        <w:pStyle w:val="ListBullet"/>
        <w:spacing w:after="80" w:line="269" w:lineRule="auto"/>
      </w:pPr>
      <w:r>
        <w:rPr>
          <w:rFonts w:ascii="Roboto" w:hAnsi="Roboto"/>
          <w:b w:val="0"/>
          <w:color w:val="191919"/>
          <w:sz w:val="22"/>
        </w:rPr>
        <w:t>Increase end-to-end and real-device QA, especially for scan and field workflows.</w:t>
      </w:r>
    </w:p>
    <w:p>
      <w:pPr>
        <w:pStyle w:val="ListBullet"/>
        <w:spacing w:after="80" w:line="269" w:lineRule="auto"/>
      </w:pPr>
      <w:r>
        <w:rPr>
          <w:rFonts w:ascii="Roboto" w:hAnsi="Roboto"/>
          <w:b w:val="0"/>
          <w:color w:val="191919"/>
          <w:sz w:val="22"/>
        </w:rPr>
        <w:t>Complete deployment and handoff readiness, including client-safe environment setup.</w:t>
      </w:r>
    </w:p>
    <w:p>
      <w:pPr>
        <w:spacing w:before="240" w:after="120"/>
      </w:pPr>
      <w:r>
        <w:rPr>
          <w:rFonts w:ascii="Roboto" w:hAnsi="Roboto"/>
          <w:b/>
          <w:color w:val="003450"/>
          <w:sz w:val="32"/>
        </w:rPr>
        <w:t>Preview Position</w:t>
      </w:r>
    </w:p>
    <w:p>
      <w:pPr>
        <w:spacing w:after="120" w:line="269" w:lineRule="auto"/>
      </w:pPr>
      <w:r>
        <w:rPr>
          <w:rFonts w:ascii="Roboto" w:hAnsi="Roboto"/>
          <w:b w:val="0"/>
          <w:color w:val="191919"/>
          <w:sz w:val="22"/>
        </w:rPr>
        <w:t>The product has moved well beyond specification and scaffold stage. It is now a functional working build with the major operational modules visible and connected. My recommendation is to use the current build for a guided preview, not yet as a formal client test release.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Roboto" w:hAnsi="Roboto"/>
          <w:b/>
          <w:color w:val="003450"/>
          <w:sz w:val="32"/>
        </w:rPr>
        <w:t>Dashboard</w:t>
      </w:r>
    </w:p>
    <w:p>
      <w:pPr>
        <w:spacing w:after="120" w:line="269" w:lineRule="auto"/>
      </w:pPr>
      <w:r>
        <w:rPr>
          <w:rFonts w:ascii="Roboto" w:hAnsi="Roboto"/>
          <w:b w:val="0"/>
          <w:color w:val="191919"/>
          <w:sz w:val="22"/>
        </w:rPr>
        <w:t>Operational overview with headline counts, alert surfaces, and links into the main workflows.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1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Roboto" w:hAnsi="Roboto"/>
          <w:b w:val="0"/>
          <w:color w:val="5F6673"/>
          <w:sz w:val="19"/>
        </w:rPr>
        <w:t>Captured from the working preview environment.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Roboto" w:hAnsi="Roboto"/>
          <w:b/>
          <w:color w:val="003450"/>
          <w:sz w:val="32"/>
        </w:rPr>
        <w:t>Assets</w:t>
      </w:r>
    </w:p>
    <w:p>
      <w:pPr>
        <w:spacing w:after="120" w:line="269" w:lineRule="auto"/>
      </w:pPr>
      <w:r>
        <w:rPr>
          <w:rFonts w:ascii="Roboto" w:hAnsi="Roboto"/>
          <w:b w:val="0"/>
          <w:color w:val="191919"/>
          <w:sz w:val="22"/>
        </w:rPr>
        <w:t>Asset register with filtering, status handling, detail views, and QR-ready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1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Roboto" w:hAnsi="Roboto"/>
          <w:b w:val="0"/>
          <w:color w:val="5F6673"/>
          <w:sz w:val="19"/>
        </w:rPr>
        <w:t>Captured from the working preview environment.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Roboto" w:hAnsi="Roboto"/>
          <w:b/>
          <w:color w:val="003450"/>
          <w:sz w:val="32"/>
        </w:rPr>
        <w:t>Consumables</w:t>
      </w:r>
    </w:p>
    <w:p>
      <w:pPr>
        <w:spacing w:after="120" w:line="269" w:lineRule="auto"/>
      </w:pPr>
      <w:r>
        <w:rPr>
          <w:rFonts w:ascii="Roboto" w:hAnsi="Roboto"/>
          <w:b w:val="0"/>
          <w:color w:val="191919"/>
          <w:sz w:val="22"/>
        </w:rPr>
        <w:t>Consumables and batch tracking screen for stock on hand, issue flows, and thresholds.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1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ab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Roboto" w:hAnsi="Roboto"/>
          <w:b w:val="0"/>
          <w:color w:val="5F6673"/>
          <w:sz w:val="19"/>
        </w:rPr>
        <w:t>Captured from the working preview environment.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Roboto" w:hAnsi="Roboto"/>
          <w:b/>
          <w:color w:val="003450"/>
          <w:sz w:val="32"/>
        </w:rPr>
        <w:t>Maintenance</w:t>
      </w:r>
    </w:p>
    <w:p>
      <w:pPr>
        <w:spacing w:after="120" w:line="269" w:lineRule="auto"/>
      </w:pPr>
      <w:r>
        <w:rPr>
          <w:rFonts w:ascii="Roboto" w:hAnsi="Roboto"/>
          <w:b w:val="0"/>
          <w:color w:val="191919"/>
          <w:sz w:val="22"/>
        </w:rPr>
        <w:t>Maintenance schedules, service records, approved vendors, and due/overdue visibility.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1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tenance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Roboto" w:hAnsi="Roboto"/>
          <w:b w:val="0"/>
          <w:color w:val="5F6673"/>
          <w:sz w:val="19"/>
        </w:rPr>
        <w:t>Captured from the working preview environment.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Roboto" w:hAnsi="Roboto"/>
          <w:b/>
          <w:color w:val="003450"/>
          <w:sz w:val="32"/>
        </w:rPr>
        <w:t>Deployments</w:t>
      </w:r>
    </w:p>
    <w:p>
      <w:pPr>
        <w:spacing w:after="120" w:line="269" w:lineRule="auto"/>
      </w:pPr>
      <w:r>
        <w:rPr>
          <w:rFonts w:ascii="Roboto" w:hAnsi="Roboto"/>
          <w:b w:val="0"/>
          <w:color w:val="191919"/>
          <w:sz w:val="22"/>
        </w:rPr>
        <w:t>Deployment planning and tracking with operational assignment flows for assets and consumables.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1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Roboto" w:hAnsi="Roboto"/>
          <w:b w:val="0"/>
          <w:color w:val="5F6673"/>
          <w:sz w:val="19"/>
        </w:rPr>
        <w:t>Captured from the working preview environment.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Roboto" w:hAnsi="Roboto"/>
          <w:b/>
          <w:color w:val="003450"/>
          <w:sz w:val="32"/>
        </w:rPr>
        <w:t>Login</w:t>
      </w:r>
    </w:p>
    <w:p>
      <w:pPr>
        <w:spacing w:after="120" w:line="269" w:lineRule="auto"/>
      </w:pPr>
      <w:r>
        <w:rPr>
          <w:rFonts w:ascii="Roboto" w:hAnsi="Roboto"/>
          <w:b w:val="0"/>
          <w:color w:val="191919"/>
          <w:sz w:val="22"/>
        </w:rPr>
        <w:t>Supabase-backed authentication screen now wired for real QA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6109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-login-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10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Roboto" w:hAnsi="Roboto"/>
          <w:b w:val="0"/>
          <w:color w:val="5F6673"/>
          <w:sz w:val="19"/>
        </w:rPr>
        <w:t>Captured from the working preview environment.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