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56C0C" w14:textId="77777777" w:rsidR="00DD7982" w:rsidRDefault="00000000">
      <w:pPr>
        <w:spacing w:after="80"/>
        <w:rPr>
          <w:rFonts w:hint="eastAsia"/>
        </w:rPr>
      </w:pPr>
      <w:r>
        <w:rPr>
          <w:b/>
          <w:color w:val="003450"/>
          <w:sz w:val="48"/>
        </w:rPr>
        <w:t>SAES Asset Register</w:t>
      </w:r>
    </w:p>
    <w:p w14:paraId="030F02DF" w14:textId="77777777" w:rsidR="00DD7982" w:rsidRDefault="00000000">
      <w:pPr>
        <w:spacing w:after="320"/>
        <w:rPr>
          <w:rFonts w:hint="eastAsia"/>
        </w:rPr>
      </w:pPr>
      <w:r>
        <w:rPr>
          <w:b/>
          <w:color w:val="E12D3C"/>
          <w:sz w:val="32"/>
        </w:rPr>
        <w:t>Client Progress Report</w:t>
      </w:r>
    </w:p>
    <w:p w14:paraId="71EDD7E3" w14:textId="77777777" w:rsidR="00DD7982" w:rsidRDefault="00000000">
      <w:pPr>
        <w:spacing w:after="360"/>
        <w:rPr>
          <w:rFonts w:hint="eastAsia"/>
        </w:rPr>
      </w:pPr>
      <w:r>
        <w:rPr>
          <w:color w:val="5F6673"/>
          <w:sz w:val="21"/>
        </w:rPr>
        <w:t>Prepared for client review | 19 June 2026</w:t>
      </w:r>
    </w:p>
    <w:p w14:paraId="4C80061E" w14:textId="77777777" w:rsidR="00DD7982" w:rsidRDefault="00000000">
      <w:pPr>
        <w:spacing w:after="120" w:line="269" w:lineRule="auto"/>
        <w:rPr>
          <w:rFonts w:hint="eastAsia"/>
        </w:rPr>
      </w:pPr>
      <w:r>
        <w:rPr>
          <w:color w:val="191919"/>
        </w:rPr>
        <w:t>This report summarises the current build progress for the Salvation Emergency Services Asset Register and includes screenshot evidence of the client-facing screens completed so far.</w:t>
      </w:r>
    </w:p>
    <w:p w14:paraId="667797D2" w14:textId="77777777" w:rsidR="00DD7982" w:rsidRDefault="00000000">
      <w:pPr>
        <w:spacing w:before="240" w:after="120"/>
        <w:rPr>
          <w:rFonts w:hint="eastAsia"/>
        </w:rPr>
      </w:pPr>
      <w:r>
        <w:rPr>
          <w:b/>
          <w:color w:val="003450"/>
          <w:sz w:val="32"/>
        </w:rPr>
        <w:t>Executive Summary</w:t>
      </w:r>
    </w:p>
    <w:p w14:paraId="150834D9" w14:textId="77777777" w:rsidR="00DD7982" w:rsidRDefault="00000000">
      <w:pPr>
        <w:spacing w:after="120" w:line="269" w:lineRule="auto"/>
        <w:rPr>
          <w:rFonts w:hint="eastAsia"/>
        </w:rPr>
      </w:pPr>
      <w:r>
        <w:rPr>
          <w:color w:val="191919"/>
        </w:rPr>
        <w:t>The core asset-register foundation is now in place. The project currently covers operational overview, location management, asset records, consumable stock control, maintenance scheduling, deployment tracking, and login flow preparation.</w:t>
      </w:r>
    </w:p>
    <w:p w14:paraId="76E02F56" w14:textId="77777777" w:rsidR="00DD7982" w:rsidRDefault="00000000">
      <w:pPr>
        <w:spacing w:after="120" w:line="269" w:lineRule="auto"/>
        <w:rPr>
          <w:rFonts w:hint="eastAsia"/>
        </w:rPr>
      </w:pPr>
      <w:r>
        <w:rPr>
          <w:color w:val="191919"/>
        </w:rPr>
        <w:t>The application is running locally and the main workflows are wired into the interface. Because the live Supabase environment has not yet been configured in this development workspace, the screens currently show the structure, forms, and empty-state messaging rather than real operational data.</w:t>
      </w:r>
    </w:p>
    <w:p w14:paraId="1184F387" w14:textId="77777777" w:rsidR="00DD7982" w:rsidRDefault="00000000">
      <w:pPr>
        <w:spacing w:before="240" w:after="120"/>
        <w:rPr>
          <w:rFonts w:hint="eastAsia"/>
        </w:rPr>
      </w:pPr>
      <w:r>
        <w:rPr>
          <w:b/>
          <w:color w:val="003450"/>
          <w:sz w:val="32"/>
        </w:rPr>
        <w:t>Completed In This Build</w:t>
      </w:r>
    </w:p>
    <w:p w14:paraId="347F2A21" w14:textId="77777777" w:rsidR="00DD7982" w:rsidRDefault="00000000">
      <w:pPr>
        <w:pStyle w:val="ListBullet"/>
        <w:spacing w:after="80" w:line="269" w:lineRule="auto"/>
        <w:rPr>
          <w:rFonts w:hint="eastAsia"/>
        </w:rPr>
      </w:pPr>
      <w:r>
        <w:rPr>
          <w:color w:val="191919"/>
        </w:rPr>
        <w:t>Dashboard route with operational summary cards and alert space.</w:t>
      </w:r>
    </w:p>
    <w:p w14:paraId="0D8014A6" w14:textId="77777777" w:rsidR="00DD7982" w:rsidRDefault="00000000">
      <w:pPr>
        <w:pStyle w:val="ListBullet"/>
        <w:spacing w:after="80" w:line="269" w:lineRule="auto"/>
        <w:rPr>
          <w:rFonts w:hint="eastAsia"/>
        </w:rPr>
      </w:pPr>
      <w:r>
        <w:rPr>
          <w:color w:val="191919"/>
        </w:rPr>
        <w:t>Locations register with create and update workflow support.</w:t>
      </w:r>
    </w:p>
    <w:p w14:paraId="05A4E3EC" w14:textId="77777777" w:rsidR="00DD7982" w:rsidRDefault="00000000">
      <w:pPr>
        <w:pStyle w:val="ListBullet"/>
        <w:spacing w:after="80" w:line="269" w:lineRule="auto"/>
        <w:rPr>
          <w:rFonts w:hint="eastAsia"/>
        </w:rPr>
      </w:pPr>
      <w:r>
        <w:rPr>
          <w:color w:val="191919"/>
        </w:rPr>
        <w:t>Asset register, forms, filters, and detail-page foundation.</w:t>
      </w:r>
    </w:p>
    <w:p w14:paraId="21C89061" w14:textId="77777777" w:rsidR="00DD7982" w:rsidRDefault="00000000">
      <w:pPr>
        <w:pStyle w:val="ListBullet"/>
        <w:spacing w:after="80" w:line="269" w:lineRule="auto"/>
        <w:rPr>
          <w:rFonts w:hint="eastAsia"/>
        </w:rPr>
      </w:pPr>
      <w:r>
        <w:rPr>
          <w:color w:val="191919"/>
        </w:rPr>
        <w:t>Consumable items, batches, issue handling, and stock movement rules.</w:t>
      </w:r>
    </w:p>
    <w:p w14:paraId="2657A332" w14:textId="77777777" w:rsidR="00DD7982" w:rsidRDefault="00000000">
      <w:pPr>
        <w:pStyle w:val="ListBullet"/>
        <w:spacing w:after="80" w:line="269" w:lineRule="auto"/>
        <w:rPr>
          <w:rFonts w:hint="eastAsia"/>
        </w:rPr>
      </w:pPr>
      <w:r>
        <w:rPr>
          <w:color w:val="191919"/>
        </w:rPr>
        <w:t>Maintenance schedules, service records, and due-maintenance review screen.</w:t>
      </w:r>
    </w:p>
    <w:p w14:paraId="0B1C735C" w14:textId="77777777" w:rsidR="00DD7982" w:rsidRDefault="00000000">
      <w:pPr>
        <w:pStyle w:val="ListBullet"/>
        <w:spacing w:after="80" w:line="269" w:lineRule="auto"/>
        <w:rPr>
          <w:rFonts w:hint="eastAsia"/>
        </w:rPr>
      </w:pPr>
      <w:r>
        <w:rPr>
          <w:color w:val="191919"/>
        </w:rPr>
        <w:t>Deployment records with asset assignment and consumable issue support.</w:t>
      </w:r>
    </w:p>
    <w:p w14:paraId="5D823AC1" w14:textId="77777777" w:rsidR="00DD7982" w:rsidRDefault="00000000">
      <w:pPr>
        <w:pStyle w:val="ListBullet"/>
        <w:spacing w:after="80" w:line="269" w:lineRule="auto"/>
        <w:rPr>
          <w:rFonts w:hint="eastAsia"/>
        </w:rPr>
      </w:pPr>
      <w:r>
        <w:rPr>
          <w:color w:val="191919"/>
        </w:rPr>
        <w:t>Login page prepared for authenticated access once environment setup is complete.</w:t>
      </w:r>
    </w:p>
    <w:p w14:paraId="6814F001" w14:textId="77777777" w:rsidR="00DD7982" w:rsidRDefault="00000000">
      <w:pPr>
        <w:spacing w:before="240" w:after="120"/>
        <w:rPr>
          <w:rFonts w:hint="eastAsia"/>
        </w:rPr>
      </w:pPr>
      <w:r>
        <w:rPr>
          <w:b/>
          <w:color w:val="003450"/>
          <w:sz w:val="32"/>
        </w:rPr>
        <w:t>Current Build Status</w:t>
      </w:r>
    </w:p>
    <w:tbl>
      <w:tblPr>
        <w:tblW w:w="0" w:type="auto"/>
        <w:tblLayout w:type="fixed"/>
        <w:tblLook w:val="04A0" w:firstRow="1" w:lastRow="0" w:firstColumn="1" w:lastColumn="0" w:noHBand="0" w:noVBand="1"/>
      </w:tblPr>
      <w:tblGrid>
        <w:gridCol w:w="3120"/>
        <w:gridCol w:w="3120"/>
        <w:gridCol w:w="3744"/>
      </w:tblGrid>
      <w:tr w:rsidR="00DD7982" w14:paraId="2469D65A" w14:textId="77777777">
        <w:tc>
          <w:tcPr>
            <w:tcW w:w="3120" w:type="dxa"/>
            <w:tcBorders>
              <w:top w:val="single" w:sz="8" w:space="0" w:color="D9DEE8"/>
              <w:left w:val="single" w:sz="8" w:space="0" w:color="D9DEE8"/>
              <w:bottom w:val="single" w:sz="8" w:space="0" w:color="D9DEE8"/>
              <w:right w:val="single" w:sz="8" w:space="0" w:color="D9DEE8"/>
            </w:tcBorders>
            <w:shd w:val="clear" w:color="auto" w:fill="F4F4F4"/>
            <w:vAlign w:val="center"/>
          </w:tcPr>
          <w:p w14:paraId="064833CD" w14:textId="77777777" w:rsidR="00DD7982" w:rsidRDefault="00000000">
            <w:pPr>
              <w:spacing w:after="0"/>
              <w:rPr>
                <w:rFonts w:hint="eastAsia"/>
              </w:rPr>
            </w:pPr>
            <w:r>
              <w:rPr>
                <w:b/>
                <w:color w:val="003450"/>
                <w:sz w:val="21"/>
              </w:rPr>
              <w:t>Module</w:t>
            </w:r>
          </w:p>
        </w:tc>
        <w:tc>
          <w:tcPr>
            <w:tcW w:w="3120" w:type="dxa"/>
            <w:tcBorders>
              <w:top w:val="single" w:sz="8" w:space="0" w:color="D9DEE8"/>
              <w:left w:val="single" w:sz="8" w:space="0" w:color="D9DEE8"/>
              <w:bottom w:val="single" w:sz="8" w:space="0" w:color="D9DEE8"/>
              <w:right w:val="single" w:sz="8" w:space="0" w:color="D9DEE8"/>
            </w:tcBorders>
            <w:shd w:val="clear" w:color="auto" w:fill="F4F4F4"/>
            <w:vAlign w:val="center"/>
          </w:tcPr>
          <w:p w14:paraId="1AF8065B" w14:textId="77777777" w:rsidR="00DD7982" w:rsidRDefault="00000000">
            <w:pPr>
              <w:spacing w:after="0"/>
              <w:rPr>
                <w:rFonts w:hint="eastAsia"/>
              </w:rPr>
            </w:pPr>
            <w:r>
              <w:rPr>
                <w:b/>
                <w:color w:val="003450"/>
                <w:sz w:val="21"/>
              </w:rPr>
              <w:t>Status</w:t>
            </w:r>
          </w:p>
        </w:tc>
        <w:tc>
          <w:tcPr>
            <w:tcW w:w="3120" w:type="dxa"/>
            <w:tcBorders>
              <w:top w:val="single" w:sz="8" w:space="0" w:color="D9DEE8"/>
              <w:left w:val="single" w:sz="8" w:space="0" w:color="D9DEE8"/>
              <w:bottom w:val="single" w:sz="8" w:space="0" w:color="D9DEE8"/>
              <w:right w:val="single" w:sz="8" w:space="0" w:color="D9DEE8"/>
            </w:tcBorders>
            <w:shd w:val="clear" w:color="auto" w:fill="F4F4F4"/>
            <w:vAlign w:val="center"/>
          </w:tcPr>
          <w:p w14:paraId="3818A474" w14:textId="77777777" w:rsidR="00DD7982" w:rsidRDefault="00000000">
            <w:pPr>
              <w:spacing w:after="0"/>
              <w:rPr>
                <w:rFonts w:hint="eastAsia"/>
              </w:rPr>
            </w:pPr>
            <w:r>
              <w:rPr>
                <w:b/>
                <w:color w:val="003450"/>
                <w:sz w:val="21"/>
              </w:rPr>
              <w:t>Current scope</w:t>
            </w:r>
          </w:p>
        </w:tc>
      </w:tr>
      <w:tr w:rsidR="00DD7982" w14:paraId="25AC99FB" w14:textId="77777777">
        <w:tc>
          <w:tcPr>
            <w:tcW w:w="2592" w:type="dxa"/>
            <w:tcBorders>
              <w:top w:val="single" w:sz="8" w:space="0" w:color="D9DEE8"/>
              <w:left w:val="single" w:sz="8" w:space="0" w:color="D9DEE8"/>
              <w:bottom w:val="single" w:sz="8" w:space="0" w:color="D9DEE8"/>
              <w:right w:val="single" w:sz="8" w:space="0" w:color="D9DEE8"/>
            </w:tcBorders>
            <w:vAlign w:val="center"/>
          </w:tcPr>
          <w:p w14:paraId="0B50F6DE" w14:textId="77777777" w:rsidR="00DD7982" w:rsidRDefault="00000000">
            <w:pPr>
              <w:spacing w:after="0"/>
              <w:rPr>
                <w:rFonts w:hint="eastAsia"/>
              </w:rPr>
            </w:pPr>
            <w:r>
              <w:rPr>
                <w:color w:val="191919"/>
                <w:sz w:val="21"/>
              </w:rPr>
              <w:t>Dashboard</w:t>
            </w:r>
          </w:p>
        </w:tc>
        <w:tc>
          <w:tcPr>
            <w:tcW w:w="3024" w:type="dxa"/>
            <w:tcBorders>
              <w:top w:val="single" w:sz="8" w:space="0" w:color="D9DEE8"/>
              <w:left w:val="single" w:sz="8" w:space="0" w:color="D9DEE8"/>
              <w:bottom w:val="single" w:sz="8" w:space="0" w:color="D9DEE8"/>
              <w:right w:val="single" w:sz="8" w:space="0" w:color="D9DEE8"/>
            </w:tcBorders>
            <w:vAlign w:val="center"/>
          </w:tcPr>
          <w:p w14:paraId="3C1B50A8" w14:textId="77777777" w:rsidR="00DD7982" w:rsidRDefault="00000000">
            <w:pPr>
              <w:spacing w:after="0"/>
              <w:rPr>
                <w:rFonts w:hint="eastAsia"/>
              </w:rPr>
            </w:pPr>
            <w:r>
              <w:rPr>
                <w:b/>
                <w:color w:val="B51623"/>
                <w:sz w:val="21"/>
              </w:rPr>
              <w:t>Built</w:t>
            </w:r>
          </w:p>
        </w:tc>
        <w:tc>
          <w:tcPr>
            <w:tcW w:w="3744" w:type="dxa"/>
            <w:tcBorders>
              <w:top w:val="single" w:sz="8" w:space="0" w:color="D9DEE8"/>
              <w:left w:val="single" w:sz="8" w:space="0" w:color="D9DEE8"/>
              <w:bottom w:val="single" w:sz="8" w:space="0" w:color="D9DEE8"/>
              <w:right w:val="single" w:sz="8" w:space="0" w:color="D9DEE8"/>
            </w:tcBorders>
            <w:vAlign w:val="center"/>
          </w:tcPr>
          <w:p w14:paraId="7EF204BC" w14:textId="77777777" w:rsidR="00DD7982" w:rsidRDefault="00000000">
            <w:pPr>
              <w:spacing w:after="0"/>
              <w:rPr>
                <w:rFonts w:hint="eastAsia"/>
              </w:rPr>
            </w:pPr>
            <w:r>
              <w:rPr>
                <w:color w:val="191919"/>
                <w:sz w:val="21"/>
              </w:rPr>
              <w:t>Operational summary layout and alert scaffolding</w:t>
            </w:r>
          </w:p>
        </w:tc>
      </w:tr>
      <w:tr w:rsidR="00DD7982" w14:paraId="662DA618" w14:textId="77777777">
        <w:tc>
          <w:tcPr>
            <w:tcW w:w="2592" w:type="dxa"/>
            <w:tcBorders>
              <w:top w:val="single" w:sz="8" w:space="0" w:color="D9DEE8"/>
              <w:left w:val="single" w:sz="8" w:space="0" w:color="D9DEE8"/>
              <w:bottom w:val="single" w:sz="8" w:space="0" w:color="D9DEE8"/>
              <w:right w:val="single" w:sz="8" w:space="0" w:color="D9DEE8"/>
            </w:tcBorders>
            <w:vAlign w:val="center"/>
          </w:tcPr>
          <w:p w14:paraId="699C0B6C" w14:textId="77777777" w:rsidR="00DD7982" w:rsidRDefault="00000000">
            <w:pPr>
              <w:spacing w:after="0"/>
              <w:rPr>
                <w:rFonts w:hint="eastAsia"/>
              </w:rPr>
            </w:pPr>
            <w:r>
              <w:rPr>
                <w:color w:val="191919"/>
                <w:sz w:val="21"/>
              </w:rPr>
              <w:t>Locations</w:t>
            </w:r>
          </w:p>
        </w:tc>
        <w:tc>
          <w:tcPr>
            <w:tcW w:w="3024" w:type="dxa"/>
            <w:tcBorders>
              <w:top w:val="single" w:sz="8" w:space="0" w:color="D9DEE8"/>
              <w:left w:val="single" w:sz="8" w:space="0" w:color="D9DEE8"/>
              <w:bottom w:val="single" w:sz="8" w:space="0" w:color="D9DEE8"/>
              <w:right w:val="single" w:sz="8" w:space="0" w:color="D9DEE8"/>
            </w:tcBorders>
            <w:vAlign w:val="center"/>
          </w:tcPr>
          <w:p w14:paraId="226F14E3" w14:textId="77777777" w:rsidR="00DD7982" w:rsidRDefault="00000000">
            <w:pPr>
              <w:spacing w:after="0"/>
              <w:rPr>
                <w:rFonts w:hint="eastAsia"/>
              </w:rPr>
            </w:pPr>
            <w:r>
              <w:rPr>
                <w:b/>
                <w:color w:val="B51623"/>
                <w:sz w:val="21"/>
              </w:rPr>
              <w:t>Built</w:t>
            </w:r>
          </w:p>
        </w:tc>
        <w:tc>
          <w:tcPr>
            <w:tcW w:w="3744" w:type="dxa"/>
            <w:tcBorders>
              <w:top w:val="single" w:sz="8" w:space="0" w:color="D9DEE8"/>
              <w:left w:val="single" w:sz="8" w:space="0" w:color="D9DEE8"/>
              <w:bottom w:val="single" w:sz="8" w:space="0" w:color="D9DEE8"/>
              <w:right w:val="single" w:sz="8" w:space="0" w:color="D9DEE8"/>
            </w:tcBorders>
            <w:vAlign w:val="center"/>
          </w:tcPr>
          <w:p w14:paraId="1A811C76" w14:textId="77777777" w:rsidR="00DD7982" w:rsidRDefault="00000000">
            <w:pPr>
              <w:spacing w:after="0"/>
              <w:rPr>
                <w:rFonts w:hint="eastAsia"/>
              </w:rPr>
            </w:pPr>
            <w:r>
              <w:rPr>
                <w:color w:val="191919"/>
                <w:sz w:val="21"/>
              </w:rPr>
              <w:t>Location register and create/update flows</w:t>
            </w:r>
          </w:p>
        </w:tc>
      </w:tr>
      <w:tr w:rsidR="00DD7982" w14:paraId="4BF5AAE6" w14:textId="77777777">
        <w:tc>
          <w:tcPr>
            <w:tcW w:w="2592" w:type="dxa"/>
            <w:tcBorders>
              <w:top w:val="single" w:sz="8" w:space="0" w:color="D9DEE8"/>
              <w:left w:val="single" w:sz="8" w:space="0" w:color="D9DEE8"/>
              <w:bottom w:val="single" w:sz="8" w:space="0" w:color="D9DEE8"/>
              <w:right w:val="single" w:sz="8" w:space="0" w:color="D9DEE8"/>
            </w:tcBorders>
            <w:vAlign w:val="center"/>
          </w:tcPr>
          <w:p w14:paraId="0049CEA6" w14:textId="77777777" w:rsidR="00DD7982" w:rsidRDefault="00000000">
            <w:pPr>
              <w:spacing w:after="0"/>
              <w:rPr>
                <w:rFonts w:hint="eastAsia"/>
              </w:rPr>
            </w:pPr>
            <w:r>
              <w:rPr>
                <w:color w:val="191919"/>
                <w:sz w:val="21"/>
              </w:rPr>
              <w:t>Assets</w:t>
            </w:r>
          </w:p>
        </w:tc>
        <w:tc>
          <w:tcPr>
            <w:tcW w:w="3024" w:type="dxa"/>
            <w:tcBorders>
              <w:top w:val="single" w:sz="8" w:space="0" w:color="D9DEE8"/>
              <w:left w:val="single" w:sz="8" w:space="0" w:color="D9DEE8"/>
              <w:bottom w:val="single" w:sz="8" w:space="0" w:color="D9DEE8"/>
              <w:right w:val="single" w:sz="8" w:space="0" w:color="D9DEE8"/>
            </w:tcBorders>
            <w:vAlign w:val="center"/>
          </w:tcPr>
          <w:p w14:paraId="2A89674F" w14:textId="77777777" w:rsidR="00DD7982" w:rsidRDefault="00000000">
            <w:pPr>
              <w:spacing w:after="0"/>
              <w:rPr>
                <w:rFonts w:hint="eastAsia"/>
              </w:rPr>
            </w:pPr>
            <w:r>
              <w:rPr>
                <w:b/>
                <w:color w:val="B51623"/>
                <w:sz w:val="21"/>
              </w:rPr>
              <w:t>Built</w:t>
            </w:r>
          </w:p>
        </w:tc>
        <w:tc>
          <w:tcPr>
            <w:tcW w:w="3744" w:type="dxa"/>
            <w:tcBorders>
              <w:top w:val="single" w:sz="8" w:space="0" w:color="D9DEE8"/>
              <w:left w:val="single" w:sz="8" w:space="0" w:color="D9DEE8"/>
              <w:bottom w:val="single" w:sz="8" w:space="0" w:color="D9DEE8"/>
              <w:right w:val="single" w:sz="8" w:space="0" w:color="D9DEE8"/>
            </w:tcBorders>
            <w:vAlign w:val="center"/>
          </w:tcPr>
          <w:p w14:paraId="744D1398" w14:textId="77777777" w:rsidR="00DD7982" w:rsidRDefault="00000000">
            <w:pPr>
              <w:spacing w:after="0"/>
              <w:rPr>
                <w:rFonts w:hint="eastAsia"/>
              </w:rPr>
            </w:pPr>
            <w:r>
              <w:rPr>
                <w:color w:val="191919"/>
                <w:sz w:val="21"/>
              </w:rPr>
              <w:t>Asset list, filtering, forms, and detail route</w:t>
            </w:r>
          </w:p>
        </w:tc>
      </w:tr>
      <w:tr w:rsidR="00DD7982" w14:paraId="690D9E86" w14:textId="77777777">
        <w:tc>
          <w:tcPr>
            <w:tcW w:w="2592" w:type="dxa"/>
            <w:tcBorders>
              <w:top w:val="single" w:sz="8" w:space="0" w:color="D9DEE8"/>
              <w:left w:val="single" w:sz="8" w:space="0" w:color="D9DEE8"/>
              <w:bottom w:val="single" w:sz="8" w:space="0" w:color="D9DEE8"/>
              <w:right w:val="single" w:sz="8" w:space="0" w:color="D9DEE8"/>
            </w:tcBorders>
            <w:vAlign w:val="center"/>
          </w:tcPr>
          <w:p w14:paraId="2AAA1CFC" w14:textId="77777777" w:rsidR="00DD7982" w:rsidRDefault="00000000">
            <w:pPr>
              <w:spacing w:after="0"/>
              <w:rPr>
                <w:rFonts w:hint="eastAsia"/>
              </w:rPr>
            </w:pPr>
            <w:r>
              <w:rPr>
                <w:color w:val="191919"/>
                <w:sz w:val="21"/>
              </w:rPr>
              <w:t>Consumables</w:t>
            </w:r>
          </w:p>
        </w:tc>
        <w:tc>
          <w:tcPr>
            <w:tcW w:w="3024" w:type="dxa"/>
            <w:tcBorders>
              <w:top w:val="single" w:sz="8" w:space="0" w:color="D9DEE8"/>
              <w:left w:val="single" w:sz="8" w:space="0" w:color="D9DEE8"/>
              <w:bottom w:val="single" w:sz="8" w:space="0" w:color="D9DEE8"/>
              <w:right w:val="single" w:sz="8" w:space="0" w:color="D9DEE8"/>
            </w:tcBorders>
            <w:vAlign w:val="center"/>
          </w:tcPr>
          <w:p w14:paraId="5B26CACF" w14:textId="77777777" w:rsidR="00DD7982" w:rsidRDefault="00000000">
            <w:pPr>
              <w:spacing w:after="0"/>
              <w:rPr>
                <w:rFonts w:hint="eastAsia"/>
              </w:rPr>
            </w:pPr>
            <w:r>
              <w:rPr>
                <w:b/>
                <w:color w:val="B51623"/>
                <w:sz w:val="21"/>
              </w:rPr>
              <w:t>Built</w:t>
            </w:r>
          </w:p>
        </w:tc>
        <w:tc>
          <w:tcPr>
            <w:tcW w:w="3744" w:type="dxa"/>
            <w:tcBorders>
              <w:top w:val="single" w:sz="8" w:space="0" w:color="D9DEE8"/>
              <w:left w:val="single" w:sz="8" w:space="0" w:color="D9DEE8"/>
              <w:bottom w:val="single" w:sz="8" w:space="0" w:color="D9DEE8"/>
              <w:right w:val="single" w:sz="8" w:space="0" w:color="D9DEE8"/>
            </w:tcBorders>
            <w:vAlign w:val="center"/>
          </w:tcPr>
          <w:p w14:paraId="7A3F4A2D" w14:textId="77777777" w:rsidR="00DD7982" w:rsidRDefault="00000000">
            <w:pPr>
              <w:spacing w:after="0"/>
              <w:rPr>
                <w:rFonts w:hint="eastAsia"/>
              </w:rPr>
            </w:pPr>
            <w:r>
              <w:rPr>
                <w:color w:val="191919"/>
                <w:sz w:val="21"/>
              </w:rPr>
              <w:t>Items, batches, issue flows, and stock movement logic</w:t>
            </w:r>
          </w:p>
        </w:tc>
      </w:tr>
      <w:tr w:rsidR="00DD7982" w14:paraId="3D3665D9" w14:textId="77777777">
        <w:tc>
          <w:tcPr>
            <w:tcW w:w="2592" w:type="dxa"/>
            <w:tcBorders>
              <w:top w:val="single" w:sz="8" w:space="0" w:color="D9DEE8"/>
              <w:left w:val="single" w:sz="8" w:space="0" w:color="D9DEE8"/>
              <w:bottom w:val="single" w:sz="8" w:space="0" w:color="D9DEE8"/>
              <w:right w:val="single" w:sz="8" w:space="0" w:color="D9DEE8"/>
            </w:tcBorders>
            <w:vAlign w:val="center"/>
          </w:tcPr>
          <w:p w14:paraId="4A877663" w14:textId="77777777" w:rsidR="00DD7982" w:rsidRDefault="00000000">
            <w:pPr>
              <w:spacing w:after="0"/>
              <w:rPr>
                <w:rFonts w:hint="eastAsia"/>
              </w:rPr>
            </w:pPr>
            <w:r>
              <w:rPr>
                <w:color w:val="191919"/>
                <w:sz w:val="21"/>
              </w:rPr>
              <w:t>Maintenance</w:t>
            </w:r>
          </w:p>
        </w:tc>
        <w:tc>
          <w:tcPr>
            <w:tcW w:w="3024" w:type="dxa"/>
            <w:tcBorders>
              <w:top w:val="single" w:sz="8" w:space="0" w:color="D9DEE8"/>
              <w:left w:val="single" w:sz="8" w:space="0" w:color="D9DEE8"/>
              <w:bottom w:val="single" w:sz="8" w:space="0" w:color="D9DEE8"/>
              <w:right w:val="single" w:sz="8" w:space="0" w:color="D9DEE8"/>
            </w:tcBorders>
            <w:vAlign w:val="center"/>
          </w:tcPr>
          <w:p w14:paraId="49D58988" w14:textId="77777777" w:rsidR="00DD7982" w:rsidRDefault="00000000">
            <w:pPr>
              <w:spacing w:after="0"/>
              <w:rPr>
                <w:rFonts w:hint="eastAsia"/>
              </w:rPr>
            </w:pPr>
            <w:r>
              <w:rPr>
                <w:b/>
                <w:color w:val="B51623"/>
                <w:sz w:val="21"/>
              </w:rPr>
              <w:t>Built</w:t>
            </w:r>
          </w:p>
        </w:tc>
        <w:tc>
          <w:tcPr>
            <w:tcW w:w="3744" w:type="dxa"/>
            <w:tcBorders>
              <w:top w:val="single" w:sz="8" w:space="0" w:color="D9DEE8"/>
              <w:left w:val="single" w:sz="8" w:space="0" w:color="D9DEE8"/>
              <w:bottom w:val="single" w:sz="8" w:space="0" w:color="D9DEE8"/>
              <w:right w:val="single" w:sz="8" w:space="0" w:color="D9DEE8"/>
            </w:tcBorders>
            <w:vAlign w:val="center"/>
          </w:tcPr>
          <w:p w14:paraId="200A10E2" w14:textId="77777777" w:rsidR="00DD7982" w:rsidRDefault="00000000">
            <w:pPr>
              <w:spacing w:after="0"/>
              <w:rPr>
                <w:rFonts w:hint="eastAsia"/>
              </w:rPr>
            </w:pPr>
            <w:r>
              <w:rPr>
                <w:color w:val="191919"/>
                <w:sz w:val="21"/>
              </w:rPr>
              <w:t>Schedules, records, audit logging, and due views</w:t>
            </w:r>
          </w:p>
        </w:tc>
      </w:tr>
      <w:tr w:rsidR="00DD7982" w14:paraId="514C788F" w14:textId="77777777">
        <w:tc>
          <w:tcPr>
            <w:tcW w:w="2592" w:type="dxa"/>
            <w:tcBorders>
              <w:top w:val="single" w:sz="8" w:space="0" w:color="D9DEE8"/>
              <w:left w:val="single" w:sz="8" w:space="0" w:color="D9DEE8"/>
              <w:bottom w:val="single" w:sz="8" w:space="0" w:color="D9DEE8"/>
              <w:right w:val="single" w:sz="8" w:space="0" w:color="D9DEE8"/>
            </w:tcBorders>
            <w:vAlign w:val="center"/>
          </w:tcPr>
          <w:p w14:paraId="6AEE1510" w14:textId="77777777" w:rsidR="00DD7982" w:rsidRDefault="00000000">
            <w:pPr>
              <w:spacing w:after="0"/>
              <w:rPr>
                <w:rFonts w:hint="eastAsia"/>
              </w:rPr>
            </w:pPr>
            <w:r>
              <w:rPr>
                <w:color w:val="191919"/>
                <w:sz w:val="21"/>
              </w:rPr>
              <w:t>Deployments</w:t>
            </w:r>
          </w:p>
        </w:tc>
        <w:tc>
          <w:tcPr>
            <w:tcW w:w="3024" w:type="dxa"/>
            <w:tcBorders>
              <w:top w:val="single" w:sz="8" w:space="0" w:color="D9DEE8"/>
              <w:left w:val="single" w:sz="8" w:space="0" w:color="D9DEE8"/>
              <w:bottom w:val="single" w:sz="8" w:space="0" w:color="D9DEE8"/>
              <w:right w:val="single" w:sz="8" w:space="0" w:color="D9DEE8"/>
            </w:tcBorders>
            <w:vAlign w:val="center"/>
          </w:tcPr>
          <w:p w14:paraId="4AAB01D8" w14:textId="77777777" w:rsidR="00DD7982" w:rsidRDefault="00000000">
            <w:pPr>
              <w:spacing w:after="0"/>
              <w:rPr>
                <w:rFonts w:hint="eastAsia"/>
              </w:rPr>
            </w:pPr>
            <w:r>
              <w:rPr>
                <w:b/>
                <w:color w:val="B51623"/>
                <w:sz w:val="21"/>
              </w:rPr>
              <w:t>Built</w:t>
            </w:r>
          </w:p>
        </w:tc>
        <w:tc>
          <w:tcPr>
            <w:tcW w:w="3744" w:type="dxa"/>
            <w:tcBorders>
              <w:top w:val="single" w:sz="8" w:space="0" w:color="D9DEE8"/>
              <w:left w:val="single" w:sz="8" w:space="0" w:color="D9DEE8"/>
              <w:bottom w:val="single" w:sz="8" w:space="0" w:color="D9DEE8"/>
              <w:right w:val="single" w:sz="8" w:space="0" w:color="D9DEE8"/>
            </w:tcBorders>
            <w:vAlign w:val="center"/>
          </w:tcPr>
          <w:p w14:paraId="1D729F0D" w14:textId="77777777" w:rsidR="00DD7982" w:rsidRDefault="00000000">
            <w:pPr>
              <w:spacing w:after="0"/>
              <w:rPr>
                <w:rFonts w:hint="eastAsia"/>
              </w:rPr>
            </w:pPr>
            <w:r>
              <w:rPr>
                <w:color w:val="191919"/>
                <w:sz w:val="21"/>
              </w:rPr>
              <w:t xml:space="preserve">Deployments, asset assignment, and </w:t>
            </w:r>
            <w:r>
              <w:rPr>
                <w:color w:val="191919"/>
                <w:sz w:val="21"/>
              </w:rPr>
              <w:lastRenderedPageBreak/>
              <w:t>consumable issue flows</w:t>
            </w:r>
          </w:p>
        </w:tc>
      </w:tr>
      <w:tr w:rsidR="00DD7982" w14:paraId="14B62CFB" w14:textId="77777777">
        <w:tc>
          <w:tcPr>
            <w:tcW w:w="2592" w:type="dxa"/>
            <w:tcBorders>
              <w:top w:val="single" w:sz="8" w:space="0" w:color="D9DEE8"/>
              <w:left w:val="single" w:sz="8" w:space="0" w:color="D9DEE8"/>
              <w:bottom w:val="single" w:sz="8" w:space="0" w:color="D9DEE8"/>
              <w:right w:val="single" w:sz="8" w:space="0" w:color="D9DEE8"/>
            </w:tcBorders>
            <w:vAlign w:val="center"/>
          </w:tcPr>
          <w:p w14:paraId="7DB9E0AF" w14:textId="77777777" w:rsidR="00DD7982" w:rsidRDefault="00000000">
            <w:pPr>
              <w:spacing w:after="0"/>
              <w:rPr>
                <w:rFonts w:hint="eastAsia"/>
              </w:rPr>
            </w:pPr>
            <w:r>
              <w:rPr>
                <w:color w:val="191919"/>
                <w:sz w:val="21"/>
              </w:rPr>
              <w:lastRenderedPageBreak/>
              <w:t>Authentication</w:t>
            </w:r>
          </w:p>
        </w:tc>
        <w:tc>
          <w:tcPr>
            <w:tcW w:w="3024" w:type="dxa"/>
            <w:tcBorders>
              <w:top w:val="single" w:sz="8" w:space="0" w:color="D9DEE8"/>
              <w:left w:val="single" w:sz="8" w:space="0" w:color="D9DEE8"/>
              <w:bottom w:val="single" w:sz="8" w:space="0" w:color="D9DEE8"/>
              <w:right w:val="single" w:sz="8" w:space="0" w:color="D9DEE8"/>
            </w:tcBorders>
            <w:vAlign w:val="center"/>
          </w:tcPr>
          <w:p w14:paraId="5EED9880" w14:textId="77777777" w:rsidR="00DD7982" w:rsidRDefault="00000000">
            <w:pPr>
              <w:spacing w:after="0"/>
              <w:rPr>
                <w:rFonts w:hint="eastAsia"/>
              </w:rPr>
            </w:pPr>
            <w:r>
              <w:rPr>
                <w:b/>
                <w:color w:val="B51623"/>
                <w:sz w:val="21"/>
              </w:rPr>
              <w:t>Built</w:t>
            </w:r>
          </w:p>
        </w:tc>
        <w:tc>
          <w:tcPr>
            <w:tcW w:w="3744" w:type="dxa"/>
            <w:tcBorders>
              <w:top w:val="single" w:sz="8" w:space="0" w:color="D9DEE8"/>
              <w:left w:val="single" w:sz="8" w:space="0" w:color="D9DEE8"/>
              <w:bottom w:val="single" w:sz="8" w:space="0" w:color="D9DEE8"/>
              <w:right w:val="single" w:sz="8" w:space="0" w:color="D9DEE8"/>
            </w:tcBorders>
            <w:vAlign w:val="center"/>
          </w:tcPr>
          <w:p w14:paraId="5C005B29" w14:textId="77777777" w:rsidR="00DD7982" w:rsidRDefault="00000000">
            <w:pPr>
              <w:spacing w:after="0"/>
              <w:rPr>
                <w:rFonts w:hint="eastAsia"/>
              </w:rPr>
            </w:pPr>
            <w:r>
              <w:rPr>
                <w:color w:val="191919"/>
                <w:sz w:val="21"/>
              </w:rPr>
              <w:t>Login experience ready for Supabase configuration</w:t>
            </w:r>
          </w:p>
        </w:tc>
      </w:tr>
    </w:tbl>
    <w:p w14:paraId="2BE8610B" w14:textId="77777777" w:rsidR="00DD7982" w:rsidRDefault="00000000">
      <w:pPr>
        <w:spacing w:before="240" w:after="120"/>
        <w:rPr>
          <w:rFonts w:hint="eastAsia"/>
        </w:rPr>
      </w:pPr>
      <w:r>
        <w:rPr>
          <w:b/>
          <w:color w:val="003450"/>
          <w:sz w:val="32"/>
        </w:rPr>
        <w:t>Environment Note</w:t>
      </w:r>
    </w:p>
    <w:p w14:paraId="0CDF9DE5" w14:textId="77777777" w:rsidR="00DD7982" w:rsidRDefault="00000000">
      <w:pPr>
        <w:spacing w:after="120" w:line="269" w:lineRule="auto"/>
        <w:rPr>
          <w:rFonts w:hint="eastAsia"/>
        </w:rPr>
      </w:pPr>
      <w:r>
        <w:rPr>
          <w:color w:val="191919"/>
        </w:rPr>
        <w:t>These screenshots were taken from the local development build in Microsoft Edge on 19 June 2026. Live data loading is intentionally deferred until the Supabase public URL and anon key are configured for the environment.</w:t>
      </w:r>
    </w:p>
    <w:p w14:paraId="79B904D3" w14:textId="77777777" w:rsidR="00DD7982" w:rsidRDefault="00000000">
      <w:pPr>
        <w:spacing w:after="120" w:line="269" w:lineRule="auto"/>
        <w:rPr>
          <w:rFonts w:hint="eastAsia"/>
        </w:rPr>
      </w:pPr>
      <w:r>
        <w:rPr>
          <w:color w:val="191919"/>
        </w:rPr>
        <w:t>Additional routes already exist in code for asset details, consumable batch details, consumable item details, deployment details, audit, reports, settings, and health checks. The pages shown in this report are the modules that are currently the clearest client-facing view of delivered progress.</w:t>
      </w:r>
    </w:p>
    <w:p w14:paraId="49FAFA0E" w14:textId="77777777" w:rsidR="00DD7982" w:rsidRDefault="00DD7982">
      <w:pPr>
        <w:rPr>
          <w:rFonts w:hint="eastAsia"/>
        </w:rPr>
        <w:sectPr w:rsidR="00DD7982">
          <w:pgSz w:w="12240" w:h="15840"/>
          <w:pgMar w:top="1440" w:right="1440" w:bottom="1440" w:left="1440" w:header="720" w:footer="720" w:gutter="0"/>
          <w:cols w:space="720"/>
          <w:docGrid w:linePitch="360"/>
        </w:sectPr>
      </w:pPr>
    </w:p>
    <w:p w14:paraId="3C57B80A" w14:textId="77777777" w:rsidR="00DD7982" w:rsidRDefault="00000000">
      <w:pPr>
        <w:spacing w:before="240" w:after="120"/>
        <w:rPr>
          <w:rFonts w:hint="eastAsia"/>
        </w:rPr>
      </w:pPr>
      <w:r>
        <w:rPr>
          <w:b/>
          <w:color w:val="003450"/>
          <w:sz w:val="32"/>
        </w:rPr>
        <w:lastRenderedPageBreak/>
        <w:t>Dashboard</w:t>
      </w:r>
    </w:p>
    <w:p w14:paraId="0C3C2004" w14:textId="77777777" w:rsidR="00DD7982" w:rsidRDefault="00000000">
      <w:pPr>
        <w:spacing w:after="120" w:line="269" w:lineRule="auto"/>
        <w:rPr>
          <w:rFonts w:hint="eastAsia"/>
        </w:rPr>
      </w:pPr>
      <w:r>
        <w:rPr>
          <w:color w:val="191919"/>
        </w:rPr>
        <w:t>Operational overview with headline counts, alert placeholders, and space for activity summaries.</w:t>
      </w:r>
    </w:p>
    <w:p w14:paraId="79A4FEC2" w14:textId="77777777" w:rsidR="00DD7982" w:rsidRDefault="00000000">
      <w:pPr>
        <w:jc w:val="center"/>
        <w:rPr>
          <w:rFonts w:hint="eastAsia"/>
        </w:rPr>
      </w:pPr>
      <w:r>
        <w:rPr>
          <w:noProof/>
        </w:rPr>
        <w:drawing>
          <wp:inline distT="0" distB="0" distL="0" distR="0" wp14:anchorId="6BB42D42" wp14:editId="1EF9115B">
            <wp:extent cx="5519099" cy="3261895"/>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519099" cy="3261895"/>
                    </a:xfrm>
                    <a:prstGeom prst="rect">
                      <a:avLst/>
                    </a:prstGeom>
                  </pic:spPr>
                </pic:pic>
              </a:graphicData>
            </a:graphic>
          </wp:inline>
        </w:drawing>
      </w:r>
    </w:p>
    <w:p w14:paraId="49CE595A" w14:textId="77777777" w:rsidR="00DD7982" w:rsidRDefault="00000000">
      <w:pPr>
        <w:spacing w:before="80" w:after="0"/>
        <w:jc w:val="center"/>
        <w:rPr>
          <w:rFonts w:hint="eastAsia"/>
        </w:rPr>
      </w:pPr>
      <w:r>
        <w:rPr>
          <w:color w:val="5F6673"/>
          <w:sz w:val="19"/>
        </w:rPr>
        <w:t>Captured in local Microsoft Edge review mode.</w:t>
      </w:r>
    </w:p>
    <w:p w14:paraId="0C46BBB9" w14:textId="77777777" w:rsidR="00DD7982" w:rsidRDefault="00DD7982">
      <w:pPr>
        <w:rPr>
          <w:rFonts w:hint="eastAsia"/>
        </w:rPr>
        <w:sectPr w:rsidR="00DD7982">
          <w:pgSz w:w="12240" w:h="15840"/>
          <w:pgMar w:top="1440" w:right="1440" w:bottom="1440" w:left="1440" w:header="720" w:footer="720" w:gutter="0"/>
          <w:cols w:space="720"/>
          <w:docGrid w:linePitch="360"/>
        </w:sectPr>
      </w:pPr>
    </w:p>
    <w:p w14:paraId="109C5C83" w14:textId="77777777" w:rsidR="00DD7982" w:rsidRDefault="00000000">
      <w:pPr>
        <w:spacing w:before="240" w:after="120"/>
        <w:rPr>
          <w:rFonts w:hint="eastAsia"/>
        </w:rPr>
      </w:pPr>
      <w:r>
        <w:rPr>
          <w:b/>
          <w:color w:val="003450"/>
          <w:sz w:val="32"/>
        </w:rPr>
        <w:lastRenderedPageBreak/>
        <w:t>Locations</w:t>
      </w:r>
    </w:p>
    <w:p w14:paraId="5995B8D2" w14:textId="77777777" w:rsidR="00DD7982" w:rsidRDefault="00000000">
      <w:pPr>
        <w:spacing w:after="120" w:line="269" w:lineRule="auto"/>
        <w:rPr>
          <w:rFonts w:hint="eastAsia"/>
        </w:rPr>
      </w:pPr>
      <w:r>
        <w:rPr>
          <w:color w:val="191919"/>
        </w:rPr>
        <w:t>Location register for warehouses, storage points, and temporary deployment sites.</w:t>
      </w:r>
    </w:p>
    <w:p w14:paraId="5FE04912" w14:textId="77777777" w:rsidR="00DD7982" w:rsidRDefault="00000000">
      <w:pPr>
        <w:jc w:val="center"/>
        <w:rPr>
          <w:rFonts w:hint="eastAsia"/>
        </w:rPr>
      </w:pPr>
      <w:r>
        <w:rPr>
          <w:noProof/>
        </w:rPr>
        <w:drawing>
          <wp:inline distT="0" distB="0" distL="0" distR="0" wp14:anchorId="7D214B2B" wp14:editId="0D1234E4">
            <wp:extent cx="5577840" cy="326187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577840" cy="3261875"/>
                    </a:xfrm>
                    <a:prstGeom prst="rect">
                      <a:avLst/>
                    </a:prstGeom>
                  </pic:spPr>
                </pic:pic>
              </a:graphicData>
            </a:graphic>
          </wp:inline>
        </w:drawing>
      </w:r>
    </w:p>
    <w:p w14:paraId="3A603040" w14:textId="77777777" w:rsidR="00DD7982" w:rsidRDefault="00000000">
      <w:pPr>
        <w:spacing w:before="80" w:after="0"/>
        <w:jc w:val="center"/>
        <w:rPr>
          <w:rFonts w:hint="eastAsia"/>
        </w:rPr>
      </w:pPr>
      <w:r>
        <w:rPr>
          <w:color w:val="5F6673"/>
          <w:sz w:val="19"/>
        </w:rPr>
        <w:t>Captured in local Microsoft Edge review mode.</w:t>
      </w:r>
    </w:p>
    <w:p w14:paraId="1727D2A1" w14:textId="77777777" w:rsidR="00DD7982" w:rsidRDefault="00DD7982">
      <w:pPr>
        <w:rPr>
          <w:rFonts w:hint="eastAsia"/>
        </w:rPr>
        <w:sectPr w:rsidR="00DD7982">
          <w:pgSz w:w="12240" w:h="15840"/>
          <w:pgMar w:top="1440" w:right="1440" w:bottom="1440" w:left="1440" w:header="720" w:footer="720" w:gutter="0"/>
          <w:cols w:space="720"/>
          <w:docGrid w:linePitch="360"/>
        </w:sectPr>
      </w:pPr>
    </w:p>
    <w:p w14:paraId="6DC839FC" w14:textId="77777777" w:rsidR="00DD7982" w:rsidRDefault="00000000">
      <w:pPr>
        <w:spacing w:before="240" w:after="120"/>
        <w:rPr>
          <w:rFonts w:hint="eastAsia"/>
        </w:rPr>
      </w:pPr>
      <w:r>
        <w:rPr>
          <w:b/>
          <w:color w:val="003450"/>
          <w:sz w:val="32"/>
        </w:rPr>
        <w:lastRenderedPageBreak/>
        <w:t>Assets</w:t>
      </w:r>
    </w:p>
    <w:p w14:paraId="35656E09" w14:textId="77777777" w:rsidR="00DD7982" w:rsidRDefault="00000000">
      <w:pPr>
        <w:spacing w:after="120" w:line="269" w:lineRule="auto"/>
        <w:rPr>
          <w:rFonts w:hint="eastAsia"/>
        </w:rPr>
      </w:pPr>
      <w:r>
        <w:rPr>
          <w:color w:val="191919"/>
        </w:rPr>
        <w:t>Asset register with filters, status handling, and create/edit flow entry points.</w:t>
      </w:r>
    </w:p>
    <w:p w14:paraId="0F3B21EB" w14:textId="77777777" w:rsidR="00DD7982" w:rsidRDefault="00000000">
      <w:pPr>
        <w:jc w:val="center"/>
        <w:rPr>
          <w:rFonts w:hint="eastAsia"/>
        </w:rPr>
      </w:pPr>
      <w:r>
        <w:rPr>
          <w:noProof/>
        </w:rPr>
        <w:drawing>
          <wp:inline distT="0" distB="0" distL="0" distR="0" wp14:anchorId="1988C2CD" wp14:editId="64353342">
            <wp:extent cx="5372919" cy="326189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372919" cy="3261895"/>
                    </a:xfrm>
                    <a:prstGeom prst="rect">
                      <a:avLst/>
                    </a:prstGeom>
                  </pic:spPr>
                </pic:pic>
              </a:graphicData>
            </a:graphic>
          </wp:inline>
        </w:drawing>
      </w:r>
    </w:p>
    <w:p w14:paraId="6A90F542" w14:textId="77777777" w:rsidR="00DD7982" w:rsidRDefault="00000000">
      <w:pPr>
        <w:spacing w:before="80" w:after="0"/>
        <w:jc w:val="center"/>
        <w:rPr>
          <w:rFonts w:hint="eastAsia"/>
        </w:rPr>
      </w:pPr>
      <w:r>
        <w:rPr>
          <w:color w:val="5F6673"/>
          <w:sz w:val="19"/>
        </w:rPr>
        <w:t>Captured in local Microsoft Edge review mode.</w:t>
      </w:r>
    </w:p>
    <w:p w14:paraId="561DCA5B" w14:textId="77777777" w:rsidR="00DD7982" w:rsidRDefault="00DD7982">
      <w:pPr>
        <w:rPr>
          <w:rFonts w:hint="eastAsia"/>
        </w:rPr>
        <w:sectPr w:rsidR="00DD7982">
          <w:pgSz w:w="12240" w:h="15840"/>
          <w:pgMar w:top="1440" w:right="1440" w:bottom="1440" w:left="1440" w:header="720" w:footer="720" w:gutter="0"/>
          <w:cols w:space="720"/>
          <w:docGrid w:linePitch="360"/>
        </w:sectPr>
      </w:pPr>
    </w:p>
    <w:p w14:paraId="4FE8D5AE" w14:textId="77777777" w:rsidR="00DD7982" w:rsidRDefault="00000000">
      <w:pPr>
        <w:spacing w:before="240" w:after="120"/>
        <w:rPr>
          <w:rFonts w:hint="eastAsia"/>
        </w:rPr>
      </w:pPr>
      <w:r>
        <w:rPr>
          <w:b/>
          <w:color w:val="003450"/>
          <w:sz w:val="32"/>
        </w:rPr>
        <w:lastRenderedPageBreak/>
        <w:t>Consumables</w:t>
      </w:r>
    </w:p>
    <w:p w14:paraId="325A5F23" w14:textId="77777777" w:rsidR="00DD7982" w:rsidRDefault="00000000">
      <w:pPr>
        <w:spacing w:after="120" w:line="269" w:lineRule="auto"/>
        <w:rPr>
          <w:rFonts w:hint="eastAsia"/>
        </w:rPr>
      </w:pPr>
      <w:r>
        <w:rPr>
          <w:color w:val="191919"/>
        </w:rPr>
        <w:t>Consumables and batch tracking screen for stock on hand, issue flows, and threshold management.</w:t>
      </w:r>
    </w:p>
    <w:p w14:paraId="50007CE8" w14:textId="77777777" w:rsidR="00DD7982" w:rsidRDefault="00000000">
      <w:pPr>
        <w:jc w:val="center"/>
        <w:rPr>
          <w:rFonts w:hint="eastAsia"/>
        </w:rPr>
      </w:pPr>
      <w:r>
        <w:rPr>
          <w:noProof/>
        </w:rPr>
        <w:drawing>
          <wp:inline distT="0" distB="0" distL="0" distR="0" wp14:anchorId="31BAA72E" wp14:editId="052AAD9A">
            <wp:extent cx="5080569" cy="59531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110645" cy="5988367"/>
                    </a:xfrm>
                    <a:prstGeom prst="rect">
                      <a:avLst/>
                    </a:prstGeom>
                  </pic:spPr>
                </pic:pic>
              </a:graphicData>
            </a:graphic>
          </wp:inline>
        </w:drawing>
      </w:r>
    </w:p>
    <w:p w14:paraId="3DC4BD27" w14:textId="77777777" w:rsidR="00DD7982" w:rsidRDefault="00000000">
      <w:pPr>
        <w:spacing w:before="80" w:after="0"/>
        <w:jc w:val="center"/>
        <w:rPr>
          <w:rFonts w:hint="eastAsia"/>
        </w:rPr>
      </w:pPr>
      <w:r>
        <w:rPr>
          <w:color w:val="5F6673"/>
          <w:sz w:val="19"/>
        </w:rPr>
        <w:t>Captured in local Microsoft Edge review mode.</w:t>
      </w:r>
    </w:p>
    <w:p w14:paraId="3F995816" w14:textId="77777777" w:rsidR="00DD7982" w:rsidRDefault="00DD7982">
      <w:pPr>
        <w:rPr>
          <w:rFonts w:hint="eastAsia"/>
        </w:rPr>
        <w:sectPr w:rsidR="00DD7982">
          <w:pgSz w:w="12240" w:h="15840"/>
          <w:pgMar w:top="1440" w:right="1440" w:bottom="1440" w:left="1440" w:header="720" w:footer="720" w:gutter="0"/>
          <w:cols w:space="720"/>
          <w:docGrid w:linePitch="360"/>
        </w:sectPr>
      </w:pPr>
    </w:p>
    <w:p w14:paraId="78D51270" w14:textId="77777777" w:rsidR="00DD7982" w:rsidRDefault="00000000">
      <w:pPr>
        <w:spacing w:before="240" w:after="120"/>
        <w:rPr>
          <w:rFonts w:hint="eastAsia"/>
        </w:rPr>
      </w:pPr>
      <w:r>
        <w:rPr>
          <w:b/>
          <w:color w:val="003450"/>
          <w:sz w:val="32"/>
        </w:rPr>
        <w:lastRenderedPageBreak/>
        <w:t>Maintenance</w:t>
      </w:r>
    </w:p>
    <w:p w14:paraId="213159B6" w14:textId="77777777" w:rsidR="00DD7982" w:rsidRDefault="00000000">
      <w:pPr>
        <w:spacing w:after="120" w:line="269" w:lineRule="auto"/>
        <w:rPr>
          <w:rFonts w:hint="eastAsia"/>
        </w:rPr>
      </w:pPr>
      <w:r>
        <w:rPr>
          <w:color w:val="191919"/>
        </w:rPr>
        <w:t>Maintenance and compliance view for upcoming schedules and overdue servicing work.</w:t>
      </w:r>
    </w:p>
    <w:p w14:paraId="7D4B5ABA" w14:textId="77777777" w:rsidR="00DD7982" w:rsidRDefault="00000000">
      <w:pPr>
        <w:jc w:val="center"/>
        <w:rPr>
          <w:rFonts w:hint="eastAsia"/>
        </w:rPr>
      </w:pPr>
      <w:r>
        <w:rPr>
          <w:noProof/>
        </w:rPr>
        <w:drawing>
          <wp:inline distT="0" distB="0" distL="0" distR="0" wp14:anchorId="4E256CD1" wp14:editId="70B353C0">
            <wp:extent cx="5530746" cy="326189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530746" cy="3261895"/>
                    </a:xfrm>
                    <a:prstGeom prst="rect">
                      <a:avLst/>
                    </a:prstGeom>
                  </pic:spPr>
                </pic:pic>
              </a:graphicData>
            </a:graphic>
          </wp:inline>
        </w:drawing>
      </w:r>
    </w:p>
    <w:p w14:paraId="4EE499F0" w14:textId="77777777" w:rsidR="00DD7982" w:rsidRDefault="00000000">
      <w:pPr>
        <w:spacing w:before="80" w:after="0"/>
        <w:jc w:val="center"/>
        <w:rPr>
          <w:rFonts w:hint="eastAsia"/>
        </w:rPr>
      </w:pPr>
      <w:r>
        <w:rPr>
          <w:color w:val="5F6673"/>
          <w:sz w:val="19"/>
        </w:rPr>
        <w:t>Captured in local Microsoft Edge review mode.</w:t>
      </w:r>
    </w:p>
    <w:p w14:paraId="32F27C82" w14:textId="77777777" w:rsidR="00DD7982" w:rsidRDefault="00DD7982">
      <w:pPr>
        <w:rPr>
          <w:rFonts w:hint="eastAsia"/>
        </w:rPr>
        <w:sectPr w:rsidR="00DD7982">
          <w:pgSz w:w="12240" w:h="15840"/>
          <w:pgMar w:top="1440" w:right="1440" w:bottom="1440" w:left="1440" w:header="720" w:footer="720" w:gutter="0"/>
          <w:cols w:space="720"/>
          <w:docGrid w:linePitch="360"/>
        </w:sectPr>
      </w:pPr>
    </w:p>
    <w:p w14:paraId="1B9F456B" w14:textId="77777777" w:rsidR="00DD7982" w:rsidRDefault="00000000">
      <w:pPr>
        <w:spacing w:before="240" w:after="120"/>
        <w:rPr>
          <w:rFonts w:hint="eastAsia"/>
        </w:rPr>
      </w:pPr>
      <w:r>
        <w:rPr>
          <w:b/>
          <w:color w:val="003450"/>
          <w:sz w:val="32"/>
        </w:rPr>
        <w:lastRenderedPageBreak/>
        <w:t>Deployments</w:t>
      </w:r>
    </w:p>
    <w:p w14:paraId="4836EA92" w14:textId="77777777" w:rsidR="00DD7982" w:rsidRDefault="00000000">
      <w:pPr>
        <w:spacing w:after="120" w:line="269" w:lineRule="auto"/>
        <w:rPr>
          <w:rFonts w:hint="eastAsia"/>
        </w:rPr>
      </w:pPr>
      <w:r>
        <w:rPr>
          <w:color w:val="191919"/>
        </w:rPr>
        <w:t>Deployment planning screen with filtering, creation flow, and future field operation tracking.</w:t>
      </w:r>
    </w:p>
    <w:p w14:paraId="7DD1AE90" w14:textId="77777777" w:rsidR="00DD7982" w:rsidRDefault="00000000">
      <w:pPr>
        <w:jc w:val="center"/>
        <w:rPr>
          <w:rFonts w:hint="eastAsia"/>
        </w:rPr>
      </w:pPr>
      <w:r>
        <w:rPr>
          <w:noProof/>
        </w:rPr>
        <w:drawing>
          <wp:inline distT="0" distB="0" distL="0" distR="0" wp14:anchorId="199E7167" wp14:editId="59C5C4B3">
            <wp:extent cx="5777865" cy="596265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5815308" cy="6001290"/>
                    </a:xfrm>
                    <a:prstGeom prst="rect">
                      <a:avLst/>
                    </a:prstGeom>
                  </pic:spPr>
                </pic:pic>
              </a:graphicData>
            </a:graphic>
          </wp:inline>
        </w:drawing>
      </w:r>
    </w:p>
    <w:p w14:paraId="7022CE1C" w14:textId="77777777" w:rsidR="00DD7982" w:rsidRDefault="00000000">
      <w:pPr>
        <w:spacing w:before="80" w:after="0"/>
        <w:jc w:val="center"/>
        <w:rPr>
          <w:rFonts w:hint="eastAsia"/>
        </w:rPr>
      </w:pPr>
      <w:r>
        <w:rPr>
          <w:color w:val="5F6673"/>
          <w:sz w:val="19"/>
        </w:rPr>
        <w:t>Captured in local Microsoft Edge review mode.</w:t>
      </w:r>
    </w:p>
    <w:p w14:paraId="0249F57F" w14:textId="77777777" w:rsidR="00DD7982" w:rsidRDefault="00DD7982">
      <w:pPr>
        <w:rPr>
          <w:rFonts w:hint="eastAsia"/>
        </w:rPr>
        <w:sectPr w:rsidR="00DD7982">
          <w:pgSz w:w="12240" w:h="15840"/>
          <w:pgMar w:top="1440" w:right="1440" w:bottom="1440" w:left="1440" w:header="720" w:footer="720" w:gutter="0"/>
          <w:cols w:space="720"/>
          <w:docGrid w:linePitch="360"/>
        </w:sectPr>
      </w:pPr>
    </w:p>
    <w:p w14:paraId="6A5BBD36" w14:textId="77777777" w:rsidR="00DD7982" w:rsidRDefault="00000000">
      <w:pPr>
        <w:spacing w:before="240" w:after="120"/>
        <w:rPr>
          <w:rFonts w:hint="eastAsia"/>
        </w:rPr>
      </w:pPr>
      <w:r>
        <w:rPr>
          <w:b/>
          <w:color w:val="003450"/>
          <w:sz w:val="32"/>
        </w:rPr>
        <w:lastRenderedPageBreak/>
        <w:t>Login</w:t>
      </w:r>
    </w:p>
    <w:p w14:paraId="5C76A3AC" w14:textId="77777777" w:rsidR="00DD7982" w:rsidRDefault="00000000">
      <w:pPr>
        <w:spacing w:after="120" w:line="269" w:lineRule="auto"/>
        <w:rPr>
          <w:rFonts w:hint="eastAsia"/>
        </w:rPr>
      </w:pPr>
      <w:r>
        <w:rPr>
          <w:color w:val="191919"/>
        </w:rPr>
        <w:t>Authentication screen wired for Supabase-backed sign-in once environment variables are configured.</w:t>
      </w:r>
    </w:p>
    <w:p w14:paraId="4E71F345" w14:textId="77777777" w:rsidR="00DD7982" w:rsidRDefault="00000000">
      <w:pPr>
        <w:jc w:val="center"/>
        <w:rPr>
          <w:rFonts w:hint="eastAsia"/>
        </w:rPr>
      </w:pPr>
      <w:r>
        <w:rPr>
          <w:noProof/>
        </w:rPr>
        <w:drawing>
          <wp:inline distT="0" distB="0" distL="0" distR="0" wp14:anchorId="08EDC2DB" wp14:editId="1573BDD3">
            <wp:extent cx="5577840" cy="32930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5577840" cy="3293064"/>
                    </a:xfrm>
                    <a:prstGeom prst="rect">
                      <a:avLst/>
                    </a:prstGeom>
                  </pic:spPr>
                </pic:pic>
              </a:graphicData>
            </a:graphic>
          </wp:inline>
        </w:drawing>
      </w:r>
    </w:p>
    <w:p w14:paraId="048E8C97" w14:textId="77777777" w:rsidR="00DD7982" w:rsidRDefault="00000000">
      <w:pPr>
        <w:spacing w:before="80" w:after="0"/>
        <w:jc w:val="center"/>
        <w:rPr>
          <w:rFonts w:hint="eastAsia"/>
        </w:rPr>
      </w:pPr>
      <w:r>
        <w:rPr>
          <w:color w:val="5F6673"/>
          <w:sz w:val="19"/>
        </w:rPr>
        <w:t>Captured in local Microsoft Edge review mode.</w:t>
      </w:r>
    </w:p>
    <w:sectPr w:rsidR="00DD798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856526">
    <w:abstractNumId w:val="8"/>
  </w:num>
  <w:num w:numId="2" w16cid:durableId="1389187580">
    <w:abstractNumId w:val="6"/>
  </w:num>
  <w:num w:numId="3" w16cid:durableId="1546066057">
    <w:abstractNumId w:val="5"/>
  </w:num>
  <w:num w:numId="4" w16cid:durableId="165634461">
    <w:abstractNumId w:val="4"/>
  </w:num>
  <w:num w:numId="5" w16cid:durableId="1193346905">
    <w:abstractNumId w:val="7"/>
  </w:num>
  <w:num w:numId="6" w16cid:durableId="1828014044">
    <w:abstractNumId w:val="3"/>
  </w:num>
  <w:num w:numId="7" w16cid:durableId="1001590688">
    <w:abstractNumId w:val="2"/>
  </w:num>
  <w:num w:numId="8" w16cid:durableId="1293828612">
    <w:abstractNumId w:val="1"/>
  </w:num>
  <w:num w:numId="9" w16cid:durableId="5214356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BFA"/>
    <w:rsid w:val="0029639D"/>
    <w:rsid w:val="00326F90"/>
    <w:rsid w:val="005E24F6"/>
    <w:rsid w:val="00AA1D8D"/>
    <w:rsid w:val="00B47730"/>
    <w:rsid w:val="00CB0664"/>
    <w:rsid w:val="00DD79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EF3AE"/>
  <w14:defaultImageDpi w14:val="300"/>
  <w15:docId w15:val="{7121C649-D528-7141-B350-BC3763BF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Roboto" w:hAnsi="Roboto"/>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464</Words>
  <Characters>2962</Characters>
  <Application>Microsoft Office Word</Application>
  <DocSecurity>0</DocSecurity>
  <Lines>95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Ian Peters</cp:lastModifiedBy>
  <cp:revision>2</cp:revision>
  <dcterms:created xsi:type="dcterms:W3CDTF">2013-12-23T23:15:00Z</dcterms:created>
  <dcterms:modified xsi:type="dcterms:W3CDTF">2026-06-19T01:25:00Z</dcterms:modified>
  <cp:category/>
</cp:coreProperties>
</file>