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276" w:rsidRPr="00991276" w:rsidRDefault="00991276" w:rsidP="00991276">
      <w:pPr>
        <w:shd w:val="clear" w:color="auto" w:fill="FFFFFF"/>
        <w:spacing w:before="330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en-GB"/>
        </w:rPr>
      </w:pPr>
      <w:bookmarkStart w:id="0" w:name="_GoBack"/>
      <w:r w:rsidRPr="00991276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en-GB"/>
        </w:rPr>
        <w:t>Lesson 6: Standard VI: Conflicts of Interest</w:t>
      </w:r>
    </w:p>
    <w:bookmarkEnd w:id="0"/>
    <w:p w:rsidR="00991276" w:rsidRDefault="00991276" w:rsidP="00991276">
      <w:pPr>
        <w:pStyle w:val="Heading2"/>
        <w:shd w:val="clear" w:color="auto" w:fill="FFFFFF"/>
        <w:rPr>
          <w:rFonts w:ascii="Arial" w:hAnsi="Arial" w:cs="Arial"/>
          <w:color w:val="000000"/>
        </w:rPr>
      </w:pPr>
      <w:r>
        <w:rPr>
          <w:rStyle w:val="label"/>
          <w:rFonts w:ascii="Arial" w:hAnsi="Arial" w:cs="Arial"/>
          <w:color w:val="000000"/>
        </w:rPr>
        <w:t>6.1</w:t>
      </w:r>
      <w:proofErr w:type="gramStart"/>
      <w:r>
        <w:rPr>
          <w:rStyle w:val="label"/>
          <w:rFonts w:ascii="Arial" w:hAnsi="Arial" w:cs="Arial"/>
          <w:color w:val="000000"/>
        </w:rPr>
        <w:t>  </w:t>
      </w:r>
      <w:r>
        <w:rPr>
          <w:rFonts w:ascii="Arial" w:hAnsi="Arial" w:cs="Arial"/>
          <w:color w:val="000000"/>
        </w:rPr>
        <w:t>Standard</w:t>
      </w:r>
      <w:proofErr w:type="gramEnd"/>
      <w:r>
        <w:rPr>
          <w:rFonts w:ascii="Arial" w:hAnsi="Arial" w:cs="Arial"/>
          <w:color w:val="000000"/>
        </w:rPr>
        <w:t xml:space="preserve"> VI(A) Disclosure of Conflicts</w:t>
      </w:r>
    </w:p>
    <w:p w:rsidR="00882AF5" w:rsidRDefault="00882AF5"/>
    <w:p w:rsidR="00991276" w:rsidRDefault="00991276">
      <w:r w:rsidRPr="00991276">
        <w:rPr>
          <w:b/>
        </w:rPr>
        <w:t>Make reasonable effort to avoid and disclose all conflicts</w:t>
      </w:r>
      <w:r>
        <w:t xml:space="preserve"> – actual and potential conflicts</w:t>
      </w:r>
    </w:p>
    <w:p w:rsidR="00991276" w:rsidRDefault="00991276">
      <w:r>
        <w:t>If you sit on any board, you must disclose that.</w:t>
      </w:r>
    </w:p>
    <w:p w:rsidR="00991276" w:rsidRDefault="00991276">
      <w:r w:rsidRPr="00991276">
        <w:rPr>
          <w:b/>
        </w:rPr>
        <w:t>Material beneficial ownership</w:t>
      </w:r>
      <w:r>
        <w:t xml:space="preserve"> – spouse, children, immediate family member who is dependent on you (living with you)</w:t>
      </w:r>
    </w:p>
    <w:p w:rsidR="00991276" w:rsidRDefault="00991276">
      <w:r>
        <w:t>Tier 1 – clients trades</w:t>
      </w:r>
      <w:r w:rsidR="00DF6FB8">
        <w:t xml:space="preserve"> (individual (general and high net worth) and institutional)</w:t>
      </w:r>
    </w:p>
    <w:p w:rsidR="00991276" w:rsidRDefault="00991276">
      <w:r>
        <w:t>Tier 2 – prop trades</w:t>
      </w:r>
    </w:p>
    <w:p w:rsidR="00991276" w:rsidRDefault="00991276">
      <w:r>
        <w:t>Tier 3 – personal trades, beneficial ownership trades</w:t>
      </w:r>
    </w:p>
    <w:p w:rsidR="00991276" w:rsidRDefault="00991276" w:rsidP="00991276">
      <w:pPr>
        <w:pStyle w:val="Heading2"/>
        <w:shd w:val="clear" w:color="auto" w:fill="FFFFFF"/>
        <w:rPr>
          <w:rFonts w:ascii="Arial" w:hAnsi="Arial" w:cs="Arial"/>
          <w:color w:val="000000"/>
        </w:rPr>
      </w:pPr>
      <w:r>
        <w:rPr>
          <w:rStyle w:val="label"/>
          <w:rFonts w:ascii="Arial" w:hAnsi="Arial" w:cs="Arial"/>
          <w:color w:val="000000"/>
        </w:rPr>
        <w:t>6.2</w:t>
      </w:r>
      <w:proofErr w:type="gramStart"/>
      <w:r>
        <w:rPr>
          <w:rStyle w:val="label"/>
          <w:rFonts w:ascii="Arial" w:hAnsi="Arial" w:cs="Arial"/>
          <w:color w:val="000000"/>
        </w:rPr>
        <w:t>  </w:t>
      </w:r>
      <w:r>
        <w:rPr>
          <w:rFonts w:ascii="Arial" w:hAnsi="Arial" w:cs="Arial"/>
          <w:color w:val="000000"/>
        </w:rPr>
        <w:t>Standard</w:t>
      </w:r>
      <w:proofErr w:type="gramEnd"/>
      <w:r>
        <w:rPr>
          <w:rFonts w:ascii="Arial" w:hAnsi="Arial" w:cs="Arial"/>
          <w:color w:val="000000"/>
        </w:rPr>
        <w:t xml:space="preserve"> VI(B) Priority of Transactions</w:t>
      </w:r>
    </w:p>
    <w:p w:rsidR="00991276" w:rsidRDefault="00991276" w:rsidP="00991276"/>
    <w:p w:rsidR="00991276" w:rsidRDefault="00991276" w:rsidP="00991276">
      <w:r w:rsidRPr="00DF6FB8">
        <w:rPr>
          <w:b/>
        </w:rPr>
        <w:t>The client comes first, then the employer</w:t>
      </w:r>
      <w:r>
        <w:t xml:space="preserve">, then </w:t>
      </w:r>
      <w:r w:rsidR="00DF6FB8">
        <w:t xml:space="preserve">member or candidate (personal) </w:t>
      </w:r>
    </w:p>
    <w:p w:rsidR="00DF6FB8" w:rsidRDefault="00DF6FB8" w:rsidP="00991276">
      <w:r>
        <w:t>Family account – is not considered a beneficiary account. It is owned by a family member not living with you. They fall into tier 1.</w:t>
      </w:r>
    </w:p>
    <w:p w:rsidR="00DF6FB8" w:rsidRDefault="00DF6FB8" w:rsidP="00991276">
      <w:r w:rsidRPr="00DF6FB8">
        <w:rPr>
          <w:b/>
        </w:rPr>
        <w:t>Material beneficial ownership falls under Tier 3</w:t>
      </w:r>
      <w:r>
        <w:rPr>
          <w:b/>
        </w:rPr>
        <w:t xml:space="preserve"> – </w:t>
      </w:r>
      <w:r>
        <w:t>usually happens in tandem with hot issue (oversubscribed, limited shares) (example: IPO offerings)</w:t>
      </w:r>
    </w:p>
    <w:p w:rsidR="00DF6FB8" w:rsidRPr="00DF6FB8" w:rsidRDefault="00DF6FB8" w:rsidP="00991276">
      <w:r w:rsidRPr="00DF6FB8">
        <w:rPr>
          <w:b/>
        </w:rPr>
        <w:t>Treat family client account as any other account</w:t>
      </w:r>
      <w:r>
        <w:rPr>
          <w:b/>
        </w:rPr>
        <w:t xml:space="preserve"> – </w:t>
      </w:r>
      <w:r>
        <w:t>neither advantage not disadvantage</w:t>
      </w:r>
    </w:p>
    <w:p w:rsidR="00991276" w:rsidRPr="00991276" w:rsidRDefault="00DF6FB8" w:rsidP="00991276">
      <w:r>
        <w:t>NO EXAMPLE PROVIDED BY CFA INSTITUTE</w:t>
      </w:r>
    </w:p>
    <w:p w:rsidR="00991276" w:rsidRDefault="00991276" w:rsidP="00991276">
      <w:pPr>
        <w:pStyle w:val="Heading2"/>
        <w:shd w:val="clear" w:color="auto" w:fill="FFFFFF"/>
        <w:rPr>
          <w:rFonts w:ascii="Arial" w:hAnsi="Arial" w:cs="Arial"/>
          <w:color w:val="000000"/>
        </w:rPr>
      </w:pPr>
      <w:r>
        <w:rPr>
          <w:rStyle w:val="label"/>
          <w:rFonts w:ascii="Arial" w:hAnsi="Arial" w:cs="Arial"/>
          <w:color w:val="000000"/>
        </w:rPr>
        <w:t>6.4</w:t>
      </w:r>
      <w:proofErr w:type="gramStart"/>
      <w:r>
        <w:rPr>
          <w:rStyle w:val="label"/>
          <w:rFonts w:ascii="Arial" w:hAnsi="Arial" w:cs="Arial"/>
          <w:color w:val="000000"/>
        </w:rPr>
        <w:t>  </w:t>
      </w:r>
      <w:r>
        <w:rPr>
          <w:rFonts w:ascii="Arial" w:hAnsi="Arial" w:cs="Arial"/>
          <w:color w:val="000000"/>
        </w:rPr>
        <w:t>Standard</w:t>
      </w:r>
      <w:proofErr w:type="gramEnd"/>
      <w:r>
        <w:rPr>
          <w:rFonts w:ascii="Arial" w:hAnsi="Arial" w:cs="Arial"/>
          <w:color w:val="000000"/>
        </w:rPr>
        <w:t xml:space="preserve"> VI(C) Referral Fees</w:t>
      </w:r>
    </w:p>
    <w:p w:rsidR="00991276" w:rsidRDefault="00991276"/>
    <w:p w:rsidR="00DF6FB8" w:rsidRDefault="00DF6FB8">
      <w:r w:rsidRPr="00DF6FB8">
        <w:rPr>
          <w:b/>
        </w:rPr>
        <w:t>Disclose referral fee in writing</w:t>
      </w:r>
      <w:r>
        <w:rPr>
          <w:b/>
        </w:rPr>
        <w:t xml:space="preserve"> – </w:t>
      </w:r>
      <w:r>
        <w:t>disclose to employer, clients and prospective clients</w:t>
      </w:r>
      <w:r w:rsidR="00A65E8C">
        <w:t xml:space="preserve">. </w:t>
      </w:r>
    </w:p>
    <w:p w:rsidR="00A65E8C" w:rsidRDefault="00A65E8C">
      <w:r>
        <w:t>Standard VI(C) does not distinguish referral payments paid by a third party or internal payments paid within the firm to attract new business</w:t>
      </w:r>
    </w:p>
    <w:p w:rsidR="00A65E8C" w:rsidRPr="00A65E8C" w:rsidRDefault="00A65E8C">
      <w:r>
        <w:rPr>
          <w:b/>
        </w:rPr>
        <w:t xml:space="preserve">Exchange of cash not required </w:t>
      </w:r>
      <w:r>
        <w:t xml:space="preserve">– quid pro quo </w:t>
      </w:r>
    </w:p>
    <w:p w:rsidR="00DF6FB8" w:rsidRDefault="00DF6FB8"/>
    <w:sectPr w:rsidR="00DF6F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76"/>
    <w:rsid w:val="00882AF5"/>
    <w:rsid w:val="00991276"/>
    <w:rsid w:val="00A65E8C"/>
    <w:rsid w:val="00D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D6DE"/>
  <w15:chartTrackingRefBased/>
  <w15:docId w15:val="{5AFBE089-FC5B-4C5C-AF49-94C0A21E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2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27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2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abel">
    <w:name w:val="label"/>
    <w:basedOn w:val="DefaultParagraphFont"/>
    <w:rsid w:val="00991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FXCM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Jurkovic</dc:creator>
  <cp:keywords/>
  <dc:description/>
  <cp:lastModifiedBy>Iva Jurkovic</cp:lastModifiedBy>
  <cp:revision>1</cp:revision>
  <dcterms:created xsi:type="dcterms:W3CDTF">2020-05-03T10:53:00Z</dcterms:created>
  <dcterms:modified xsi:type="dcterms:W3CDTF">2020-05-03T11:21:00Z</dcterms:modified>
</cp:coreProperties>
</file>