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BD2F4" w14:textId="50CD0DBB" w:rsidR="00030234" w:rsidRDefault="00796037" w:rsidP="008A114C">
      <w:pPr>
        <w:pStyle w:val="Title"/>
        <w:jc w:val="center"/>
        <w:rPr>
          <w:sz w:val="36"/>
          <w:szCs w:val="36"/>
        </w:rPr>
      </w:pPr>
      <w:r w:rsidRPr="00CA5FA0">
        <w:rPr>
          <w:sz w:val="36"/>
          <w:szCs w:val="36"/>
        </w:rPr>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4BABA6B1" w14:textId="33A7719D" w:rsidR="00293665" w:rsidRPr="00E35CBB" w:rsidRDefault="00293665" w:rsidP="00E35CBB">
      <w:pPr>
        <w:pStyle w:val="Title"/>
        <w:jc w:val="center"/>
        <w:rPr>
          <w:sz w:val="36"/>
          <w:szCs w:val="36"/>
        </w:rPr>
      </w:pPr>
      <w:r w:rsidRPr="00E35CBB">
        <w:rPr>
          <w:sz w:val="36"/>
          <w:szCs w:val="36"/>
        </w:rPr>
        <w:t>Isaac Liu</w:t>
      </w:r>
      <w:r w:rsidR="00930DBE">
        <w:rPr>
          <w:rStyle w:val="FootnoteReference"/>
          <w:sz w:val="36"/>
          <w:szCs w:val="36"/>
        </w:rPr>
        <w:footnoteReference w:id="2"/>
      </w:r>
    </w:p>
    <w:p w14:paraId="468912A3" w14:textId="73094ED4" w:rsidR="00D157E1" w:rsidRDefault="00B85767" w:rsidP="001F2071">
      <w:pPr>
        <w:pStyle w:val="Heading1"/>
      </w:pPr>
      <w:r>
        <w:t>Abstract</w:t>
      </w:r>
    </w:p>
    <w:p w14:paraId="4AD8D89F" w14:textId="21D6922D"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and political instabilit</w:t>
      </w:r>
      <w:r w:rsidR="008924EB">
        <w:t>y</w:t>
      </w:r>
      <w:r w:rsidR="003A6DFF">
        <w:t xml:space="preserve"> </w:t>
      </w:r>
      <w:r w:rsidR="003A323F">
        <w:t xml:space="preserve">in </w:t>
      </w:r>
      <w:r w:rsidR="00274BE6">
        <w:t>open economies without capital controls</w:t>
      </w:r>
      <w:r w:rsidR="00580C37">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extend </w:t>
      </w:r>
      <w:r w:rsidR="0099273B">
        <w:t>theory</w:t>
      </w:r>
      <w:r w:rsidR="00113C79">
        <w:t xml:space="preserve"> and </w:t>
      </w:r>
      <w:r w:rsidR="00B54E18">
        <w:t>empirical analysis</w:t>
      </w:r>
      <w:r w:rsidR="005323A6">
        <w:t xml:space="preserve"> to autocracies and</w:t>
      </w:r>
      <w:r w:rsidR="0032626D">
        <w:t xml:space="preserve"> take care to address issues of potential endogeneity </w:t>
      </w:r>
      <w:r w:rsidR="00647911">
        <w:t>by</w:t>
      </w:r>
      <w:r w:rsidR="00E923F8">
        <w:t xml:space="preserve"> using </w:t>
      </w:r>
      <w:r w:rsidR="00055076">
        <w:t xml:space="preserve">panel data and instrumental variables techniques </w:t>
      </w:r>
      <w:r w:rsidR="002E5345">
        <w:t xml:space="preserve">over a wide range of countries </w:t>
      </w:r>
      <w:r w:rsidR="00E923F8">
        <w:t>from 1970</w:t>
      </w:r>
      <w:r w:rsidR="00BF573A">
        <w:t>-2012</w:t>
      </w:r>
      <w:r w:rsidR="00A839CE">
        <w:t>.</w:t>
      </w:r>
      <w:r w:rsidR="00375EFD">
        <w:t xml:space="preserve"> </w:t>
      </w:r>
      <w:r w:rsidR="00FE1540" w:rsidRPr="00375EFD">
        <w:rPr>
          <w:highlight w:val="yellow"/>
        </w:rPr>
        <w:t>FINDINGS HERE.</w:t>
      </w:r>
      <w:r w:rsidR="004F43CD">
        <w:t xml:space="preserve"> </w:t>
      </w:r>
      <w:r w:rsidR="004F43CD" w:rsidRPr="004F43CD">
        <w:rPr>
          <w:highlight w:val="yellow"/>
        </w:rPr>
        <w:t>IMPLICATIONS HERE.</w:t>
      </w:r>
    </w:p>
    <w:p w14:paraId="6612B923" w14:textId="0A41D2E0" w:rsidR="00B85767" w:rsidRDefault="00B85767" w:rsidP="00293665">
      <w:pPr>
        <w:pStyle w:val="Heading1"/>
      </w:pPr>
      <w:r>
        <w:t>Introduction</w:t>
      </w:r>
    </w:p>
    <w:p w14:paraId="22690D43" w14:textId="097859E0" w:rsidR="00CD286F" w:rsidRDefault="00267034" w:rsidP="002F28E1">
      <w:r>
        <w:t xml:space="preserve">The </w:t>
      </w:r>
      <w:r w:rsidR="008B034E">
        <w:t>l</w:t>
      </w:r>
      <w:r w:rsidR="00330FA7">
        <w:t>inkage</w:t>
      </w:r>
      <w:r w:rsidR="00FC1798">
        <w:t xml:space="preserve"> between</w:t>
      </w:r>
      <w:r w:rsidR="00954DFE">
        <w:t xml:space="preserve"> limiting institutions such as</w:t>
      </w:r>
      <w:r w:rsidR="00FC1798">
        <w:t xml:space="preserve"> </w:t>
      </w:r>
      <w:r w:rsidR="00C53701">
        <w:t>central bank independence</w:t>
      </w:r>
      <w:r w:rsidR="003A2C4B">
        <w:t xml:space="preserve"> and electoral </w:t>
      </w:r>
      <w:r w:rsidR="00A53B2A">
        <w:t>stability</w:t>
      </w:r>
      <w:r w:rsidR="003A2C4B">
        <w:t xml:space="preserve"> </w:t>
      </w:r>
      <w:r w:rsidR="00FD62CA">
        <w:t xml:space="preserve">in democracies </w:t>
      </w:r>
      <w:r w:rsidR="003A2C4B">
        <w:t xml:space="preserve">is </w:t>
      </w:r>
      <w:r w:rsidR="00954DFE">
        <w:t xml:space="preserve">a </w:t>
      </w:r>
      <w:r w:rsidR="006C7F5B">
        <w:t xml:space="preserve">largely </w:t>
      </w:r>
      <w:r w:rsidR="00DF51A7">
        <w:t>relevant</w:t>
      </w:r>
      <w:r w:rsidR="006C7F5B">
        <w:t xml:space="preserve"> </w:t>
      </w:r>
      <w:r w:rsidR="00870558">
        <w:t xml:space="preserve">debate that evades </w:t>
      </w:r>
      <w:r w:rsidR="00EB798B">
        <w:t xml:space="preserve">a </w:t>
      </w:r>
      <w:r w:rsidR="00D72494">
        <w:t>straightforward</w:t>
      </w:r>
      <w:r w:rsidR="00A94ACD">
        <w:t xml:space="preserve"> intuitive</w:t>
      </w:r>
      <w:r w:rsidR="00870558">
        <w:t xml:space="preserve"> answer</w:t>
      </w:r>
      <w:r w:rsidR="00B419C3">
        <w:t>.</w:t>
      </w:r>
      <w:r w:rsidR="0045785A">
        <w:t xml:space="preserve"> </w:t>
      </w:r>
      <w:r w:rsidR="00430561">
        <w:t>On the one hand,</w:t>
      </w:r>
      <w:r w:rsidR="00334024">
        <w:t xml:space="preserve"> </w:t>
      </w:r>
      <w:r w:rsidR="00430561">
        <w:t xml:space="preserve">independent </w:t>
      </w:r>
      <w:r w:rsidR="00334024">
        <w:t xml:space="preserve">central banks </w:t>
      </w:r>
      <w:r w:rsidR="00430561">
        <w:t xml:space="preserve">are widely </w:t>
      </w:r>
      <w:r w:rsidR="00BB15B8">
        <w:t>known</w:t>
      </w:r>
      <w:r w:rsidR="00430561">
        <w:t xml:space="preserve"> as </w:t>
      </w:r>
      <w:r w:rsidR="00334024">
        <w:t>welfare</w:t>
      </w:r>
      <w:r w:rsidR="00430561">
        <w:t>-enhancing institutions</w:t>
      </w:r>
      <w:r w:rsidR="00D84307">
        <w:t xml:space="preserve"> </w:t>
      </w:r>
      <w:r w:rsidR="0070489F">
        <w:t xml:space="preserve">which reduce inflation </w:t>
      </w:r>
      <w:r w:rsidR="0026037A">
        <w:fldChar w:fldCharType="begin"/>
      </w:r>
      <w:r w:rsidR="00516DF7">
        <w:instrText xml:space="preserve"> ADDIN ZOTERO_ITEM CSL_CITATION {"citationID":"U55FIqgl","properties":{"formattedCitation":"(Fed Appointments | IGM Forum n.d.)","plainCitation":"(Fed Appointments | IGM Forum n.d.)","noteIndex":0},"citationItems":[{"id":358,"uris":["http://zotero.org/users/5939705/items/KQ36ZZ7B"],"uri":["http://zotero.org/users/5939705/items/KQ36ZZ7B"],"itemData":{"id":358,"type":"post-weblog","language":"en-US","title":"Fed Appointments | IGM Forum","URL":"http://www.igmchicago.org/surveys/fed-appointments","accessed":{"date-parts":[["2020",1,20]]}}}],"schema":"https://github.com/citation-style-language/schema/raw/master/csl-citation.json"} </w:instrText>
      </w:r>
      <w:r w:rsidR="0026037A">
        <w:fldChar w:fldCharType="separate"/>
      </w:r>
      <w:r w:rsidR="00516DF7" w:rsidRPr="00516DF7">
        <w:rPr>
          <w:rFonts w:ascii="Calibri" w:hAnsi="Calibri" w:cs="Calibri"/>
        </w:rPr>
        <w:t>(Fed Appointments | IGM Forum n.d.)</w:t>
      </w:r>
      <w:r w:rsidR="0026037A">
        <w:fldChar w:fldCharType="end"/>
      </w:r>
      <w:r w:rsidR="0019504D">
        <w:t>.</w:t>
      </w:r>
      <w:r w:rsidR="00C360EC">
        <w:t xml:space="preserve"> </w:t>
      </w:r>
      <w:r w:rsidR="00425E71">
        <w:t xml:space="preserve">This benefit comes </w:t>
      </w:r>
      <w:r w:rsidR="00846E7B">
        <w:t xml:space="preserve">no </w:t>
      </w:r>
      <w:r w:rsidR="00425E71">
        <w:t>long run cost to real macroeconomic variables</w:t>
      </w:r>
      <w:r w:rsidR="00846E7B">
        <w:t xml:space="preserve"> </w:t>
      </w:r>
      <w:r w:rsidR="00425E71">
        <w:fldChar w:fldCharType="begin"/>
      </w:r>
      <w:r w:rsidR="00846E7B">
        <w:instrText xml:space="preserve"> ADDIN ZOTERO_ITEM CSL_CITATION {"citationID":"Nt2nma9J","properties":{"formattedCitation":"(Alesina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fldChar w:fldCharType="separate"/>
      </w:r>
      <w:r w:rsidR="00846E7B" w:rsidRPr="00846E7B">
        <w:rPr>
          <w:rFonts w:ascii="Calibri" w:hAnsi="Calibri" w:cs="Calibri"/>
        </w:rPr>
        <w:t>(Alesina and Summers 1993)</w:t>
      </w:r>
      <w:r w:rsidR="00425E71">
        <w:fldChar w:fldCharType="end"/>
      </w:r>
      <w:r w:rsidR="00425E71">
        <w:t xml:space="preserve">. </w:t>
      </w:r>
      <w:r w:rsidR="00893CD8">
        <w:t xml:space="preserve">It is not difficult to imagine </w:t>
      </w:r>
      <w:r w:rsidR="00194C98">
        <w:t>a grateful populace consistently reward</w:t>
      </w:r>
      <w:r w:rsidR="00C93E41">
        <w:t>ing</w:t>
      </w:r>
      <w:r w:rsidR="00194C98">
        <w:t xml:space="preserve"> incumbents for better economic conditions. </w:t>
      </w:r>
      <w:r w:rsidR="00627719">
        <w:t>On the other hand,</w:t>
      </w:r>
      <w:r w:rsidR="00C96BBD">
        <w:t xml:space="preserve"> t</w:t>
      </w:r>
      <w:r w:rsidR="00D07EF0">
        <w:t>he capacity of central banks</w:t>
      </w:r>
      <w:r w:rsidR="002A4F0B">
        <w:t xml:space="preserve">, rather than politicians to </w:t>
      </w:r>
      <w:r w:rsidR="00D07EF0">
        <w:t>steer the economy</w:t>
      </w:r>
      <w:r w:rsidR="00816355">
        <w:t xml:space="preserve"> </w:t>
      </w:r>
      <w:r w:rsidR="00976966">
        <w:t xml:space="preserve">has been </w:t>
      </w:r>
      <w:r w:rsidR="00911AAD">
        <w:t xml:space="preserve">assumed to have serious electoral </w:t>
      </w:r>
      <w:r w:rsidR="00001ABB">
        <w:t>costs</w:t>
      </w:r>
      <w:r w:rsidR="00DE6B77">
        <w:t xml:space="preserve"> in disputes such as those between President Donald Trump and Federal Reserve </w:t>
      </w:r>
      <w:r w:rsidR="00940A1A">
        <w:t xml:space="preserve">Chairman Jay Powell </w:t>
      </w:r>
      <w:r w:rsidR="002B3590">
        <w:fldChar w:fldCharType="begin"/>
      </w:r>
      <w:r w:rsidR="00E6781A">
        <w:instrText xml:space="preserve"> ADDIN ZOTERO_ITEM CSL_CITATION {"citationID":"IsMwyLJI","properties":{"formattedCitation":"(correspondentEmailEmailBioBioFollowFollow n.d.)","plainCitation":"(correspondentEmailEmailBioBioFollowFollow n.d.)","dontUpdate":true,"noteIndex":0},"citationItems":[{"id":296,"uris":["http://zotero.org/users/5939705/items/Y96SHLX3"],"uri":["http://zotero.org/users/5939705/items/Y96SHLX3"],"itemData":{"id":296,"type":"webpage","abstract":"The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guts.’","URL":"https://www.washingtonpost.com/business/2019/09/18/federal-reserve-cuts-interest-rates-quarter-point-counter-trumps-trade-war/","author":[{"family":"correspondentEmailEmailBioBioFollowFollow","given":"Heather Long closeHeather LongEconomics"}],"accessed":{"date-parts":[["2020",1,8]]}}}],"schema":"https://github.com/citation-style-language/schema/raw/master/csl-citation.json"} </w:instrText>
      </w:r>
      <w:r w:rsidR="002B3590">
        <w:fldChar w:fldCharType="separate"/>
      </w:r>
      <w:r w:rsidR="002B3590" w:rsidRPr="002B3590">
        <w:rPr>
          <w:rFonts w:ascii="Calibri" w:hAnsi="Calibri" w:cs="Calibri"/>
        </w:rPr>
        <w:t>(</w:t>
      </w:r>
      <w:r w:rsidR="002961EC">
        <w:rPr>
          <w:rFonts w:ascii="Calibri" w:hAnsi="Calibri" w:cs="Calibri"/>
        </w:rPr>
        <w:t>Long</w:t>
      </w:r>
      <w:r w:rsidR="002B3590" w:rsidRPr="002B3590">
        <w:rPr>
          <w:rFonts w:ascii="Calibri" w:hAnsi="Calibri" w:cs="Calibri"/>
        </w:rPr>
        <w:t xml:space="preserve"> n.d.)</w:t>
      </w:r>
      <w:r w:rsidR="002B3590">
        <w:fldChar w:fldCharType="end"/>
      </w:r>
      <w:r w:rsidR="00816355">
        <w:t>.</w:t>
      </w:r>
      <w:r w:rsidR="007C1115">
        <w:t xml:space="preserve"> </w:t>
      </w:r>
      <w:r w:rsidR="00F546A6">
        <w:t xml:space="preserve">Over time, we might expect </w:t>
      </w:r>
      <w:r w:rsidR="00EB2323">
        <w:t xml:space="preserve">central bank </w:t>
      </w:r>
      <w:r w:rsidR="00F546A6">
        <w:t xml:space="preserve">independence to </w:t>
      </w:r>
      <w:r w:rsidR="00334024">
        <w:t xml:space="preserve">repeatedly </w:t>
      </w:r>
      <w:r w:rsidR="00F546A6">
        <w:t xml:space="preserve">harm </w:t>
      </w:r>
      <w:r w:rsidR="002171FC">
        <w:t>the electoral chances of incumbents</w:t>
      </w:r>
      <w:r w:rsidR="005732DA">
        <w:t>.</w:t>
      </w:r>
    </w:p>
    <w:p w14:paraId="368C10B1" w14:textId="1673A99B" w:rsidR="00D1313F" w:rsidRDefault="00D72494" w:rsidP="002F28E1">
      <w:r>
        <w:t>C</w:t>
      </w:r>
      <w:r w:rsidR="002337F8" w:rsidRPr="004D01D3">
        <w:t>entral bank independence need not be the only economic constraint that matters for political outcomes. Fixed exchange rate regimes should also provide the same mechanism of economic policy “hand-tying” to politicians</w:t>
      </w:r>
      <w:r w:rsidR="002337F8">
        <w:t>, with the outsourcing of monetary policy</w:t>
      </w:r>
      <w:r w:rsidR="00CE400A">
        <w:t xml:space="preserve"> in open economies without capital controls</w:t>
      </w:r>
      <w:r w:rsidR="00844143">
        <w:t xml:space="preserve"> </w:t>
      </w:r>
      <w:r w:rsidR="009136E1">
        <w:fldChar w:fldCharType="begin"/>
      </w:r>
      <w:r w:rsidR="00844143">
        <w:instrText xml:space="preserve"> ADDIN ZOTERO_ITEM CSL_CITATION {"citationID":"HpCzEvKv","properties":{"formattedCitation":"(Fleming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fldChar w:fldCharType="separate"/>
      </w:r>
      <w:r w:rsidR="00844143" w:rsidRPr="00844143">
        <w:rPr>
          <w:rFonts w:ascii="Calibri" w:hAnsi="Calibri" w:cs="Calibri"/>
        </w:rPr>
        <w:t>(Fleming 1962; R. A. Mundell 1963)</w:t>
      </w:r>
      <w:r w:rsidR="009136E1">
        <w:fldChar w:fldCharType="end"/>
      </w:r>
      <w:r w:rsidR="002337F8" w:rsidRPr="004D01D3">
        <w:t>.</w:t>
      </w:r>
      <w:r w:rsidR="002337F8">
        <w:t xml:space="preserve"> Previous work has widely documented the importance of considering these institutions jointly </w:t>
      </w:r>
      <w:r w:rsidR="002337F8">
        <w:fldChar w:fldCharType="begin"/>
      </w:r>
      <w:r w:rsidR="002337F8">
        <w:instrText xml:space="preserve"> ADDIN ZOTERO_ITEM CSL_CITATION {"citationID":"XFkvKbQu","properties":{"formattedCitation":"(Bernhard,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fldChar w:fldCharType="separate"/>
      </w:r>
      <w:r w:rsidR="002337F8" w:rsidRPr="00F04AAF">
        <w:rPr>
          <w:rFonts w:ascii="Calibri" w:hAnsi="Calibri" w:cs="Calibri"/>
        </w:rPr>
        <w:t>(Bernhard, Broz, and Clark 2002)</w:t>
      </w:r>
      <w:r w:rsidR="002337F8">
        <w:fldChar w:fldCharType="end"/>
      </w:r>
      <w:r w:rsidR="003E2F60">
        <w:t>.</w:t>
      </w:r>
      <w:r w:rsidR="00A84818">
        <w:t xml:space="preserve"> </w:t>
      </w:r>
      <w:r w:rsidR="002337F8">
        <w:t>We thus might expect to find similar stories of fixed exchange rates affecting political and electoral stability: this is indeed the case.</w:t>
      </w:r>
      <w:r w:rsidR="0019515D">
        <w:t xml:space="preserve"> </w:t>
      </w:r>
      <w:r w:rsidR="00CA6776">
        <w:t>For example, in February 2019</w:t>
      </w:r>
      <w:r w:rsidR="00E4230B">
        <w:t xml:space="preserve"> the President of Cote D’Ivoire, </w:t>
      </w:r>
      <w:r w:rsidR="00E4230B" w:rsidRPr="00E4230B">
        <w:t>Alassane Ouattara</w:t>
      </w:r>
      <w:r w:rsidR="00E4230B">
        <w:t xml:space="preserve"> said </w:t>
      </w:r>
      <w:r w:rsidR="0059593E">
        <w:t>that</w:t>
      </w:r>
      <w:r w:rsidR="00E4230B">
        <w:t xml:space="preserve"> the </w:t>
      </w:r>
      <w:r w:rsidR="0011729C">
        <w:t>pegged CFA franc</w:t>
      </w:r>
      <w:r w:rsidR="0059593E">
        <w:t xml:space="preserve"> </w:t>
      </w:r>
      <w:r w:rsidR="00A07210">
        <w:t xml:space="preserve">has </w:t>
      </w:r>
      <w:r w:rsidR="0059593E">
        <w:t xml:space="preserve">played a key role in </w:t>
      </w:r>
      <w:r w:rsidR="00C442C1">
        <w:t>stabilizing the country</w:t>
      </w:r>
      <w:r w:rsidR="00A10AE1">
        <w:t xml:space="preserve"> </w:t>
      </w:r>
      <w:r w:rsidR="00BF7826">
        <w:t>by</w:t>
      </w:r>
      <w:r w:rsidR="00A10AE1">
        <w:t xml:space="preserve"> </w:t>
      </w:r>
      <w:r w:rsidR="00AC6640">
        <w:t>helping control</w:t>
      </w:r>
      <w:r w:rsidR="00A10AE1">
        <w:t xml:space="preserve"> inflation</w:t>
      </w:r>
      <w:r w:rsidR="00C442C1">
        <w:t xml:space="preserve"> </w:t>
      </w:r>
      <w:r w:rsidR="00B7331D">
        <w:fldChar w:fldCharType="begin"/>
      </w:r>
      <w:r w:rsidR="00F1289D">
        <w:instrText xml:space="preserve"> ADDIN ZOTERO_ITEM CSL_CITATION {"citationID":"QM2Si3Rq","properties":{"formattedCitation":"(Bassompierre n.d.)","plainCitation":"(Bassompierre n.d.)","noteIndex":0},"citationItems":[{"id":477,"uris":["http://zotero.org/users/5939705/items/89C4LP2I"],"uri":["http://zotero.org/users/5939705/items/89C4LP2I"],"itemData":{"id":477,"type":"webpage","title":"Ivorian President Reiterates Support for Euro-Pegged Currency - Bloomberg","URL":"https://www.bloomberg.com/news/articles/2019-02-16/ivorian-president-reiterates-support-for-euro-pegged-currency","author":[{"family":"Bassompierre","given":"Leanne","dropping-particle":"de"}],"accessed":{"date-parts":[["2020",2,9]]}}}],"schema":"https://github.com/citation-style-language/schema/raw/master/csl-citation.json"} </w:instrText>
      </w:r>
      <w:r w:rsidR="00B7331D">
        <w:fldChar w:fldCharType="separate"/>
      </w:r>
      <w:r w:rsidR="00F1289D" w:rsidRPr="00F1289D">
        <w:rPr>
          <w:rFonts w:ascii="Calibri" w:hAnsi="Calibri" w:cs="Calibri"/>
        </w:rPr>
        <w:t>(Bassompierre n.d.)</w:t>
      </w:r>
      <w:r w:rsidR="00B7331D">
        <w:fldChar w:fldCharType="end"/>
      </w:r>
      <w:r w:rsidR="00C442C1">
        <w:t>.</w:t>
      </w:r>
      <w:r w:rsidR="000240D1">
        <w:t xml:space="preserve"> </w:t>
      </w:r>
      <w:r w:rsidR="00D32DEF">
        <w:t>On the other hand</w:t>
      </w:r>
      <w:r w:rsidR="002337F8">
        <w:t xml:space="preserve">, in Lebanon, a fixed </w:t>
      </w:r>
      <w:r w:rsidR="0025228B">
        <w:t xml:space="preserve">exchange </w:t>
      </w:r>
      <w:r w:rsidR="002337F8">
        <w:t xml:space="preserve">rate is considered to have led to increasing political unrest and reform pressures in the country </w:t>
      </w:r>
      <w:r w:rsidR="002337F8">
        <w:fldChar w:fldCharType="begin"/>
      </w:r>
      <w:r w:rsidR="002337F8">
        <w:instrText xml:space="preserve"> ADDIN ZOTERO_ITEM CSL_CITATION {"citationID":"nr5OCQZq","properties":{"formattedCitation":"(Diwan 2020)","plainCitation":"(Diwan 2020)","noteIndex":0},"citationItems":[{"id":307,"uris":["http://zotero.org/users/5939705/items/3JU47FS8"],"uri":["http://zotero.org/users/5939705/items/3JU47FS8"],"itemData":{"id":307,"type":"webpage","abstract":"After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fldChar w:fldCharType="separate"/>
      </w:r>
      <w:r w:rsidR="002337F8" w:rsidRPr="0033300B">
        <w:rPr>
          <w:rFonts w:ascii="Calibri" w:hAnsi="Calibri" w:cs="Calibri"/>
        </w:rPr>
        <w:t>(Diwan 2020)</w:t>
      </w:r>
      <w:r w:rsidR="002337F8">
        <w:fldChar w:fldCharType="end"/>
      </w:r>
      <w:r w:rsidR="002337F8">
        <w:t>.</w:t>
      </w:r>
    </w:p>
    <w:p w14:paraId="23102BAF" w14:textId="20732659" w:rsidR="00DE0338" w:rsidRDefault="00281150" w:rsidP="002F28E1">
      <w:r w:rsidRPr="000F4106">
        <w:t>Relationships between limiting regimes and</w:t>
      </w:r>
      <w:r w:rsidR="002C591C" w:rsidRPr="000F4106">
        <w:t xml:space="preserve"> political</w:t>
      </w:r>
      <w:r w:rsidRPr="000F4106">
        <w:t xml:space="preserve"> </w:t>
      </w:r>
      <w:r w:rsidR="00DF022F" w:rsidRPr="000F4106">
        <w:t>instability also need not be limited to democracies.</w:t>
      </w:r>
      <w:r w:rsidR="007B721C">
        <w:t xml:space="preserve"> </w:t>
      </w:r>
      <w:r w:rsidR="00496D68">
        <w:t>China</w:t>
      </w:r>
      <w:r w:rsidR="007A23B1">
        <w:t xml:space="preserve">’s tight control of </w:t>
      </w:r>
      <w:r w:rsidR="00E61149">
        <w:t xml:space="preserve">the </w:t>
      </w:r>
      <w:r w:rsidR="008E23F9">
        <w:t>renminbi</w:t>
      </w:r>
      <w:r w:rsidR="00E61149">
        <w:t xml:space="preserve"> with the aim of trade promotion </w:t>
      </w:r>
      <w:r w:rsidR="001E3BC1">
        <w:t xml:space="preserve">fits within a broader national aim of economic development </w:t>
      </w:r>
      <w:r w:rsidR="008E23F9">
        <w:t>to maintain domestic stability</w:t>
      </w:r>
      <w:r w:rsidR="00E273A0">
        <w:t xml:space="preserve"> </w:t>
      </w:r>
      <w:r w:rsidR="008E23F9">
        <w:fldChar w:fldCharType="begin"/>
      </w:r>
      <w:r w:rsidR="00605F18">
        <w:instrText xml:space="preserve"> ADDIN ZOTERO_ITEM CSL_CITATION {"citationID":"aFneGTs7","properties":{"formattedCitation":"(Kroeber 2011)","plainCitation":"(Kroeber 2011)","noteIndex":0},"citationItems":[{"id":480,"uris":["http://zotero.org/users/5939705/items/LTAQ8MFK"],"uri":["http://zotero.org/users/5939705/items/LTAQ8MFK"],"itemData":{"id":480,"type":"post-weblog","abstract":"The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fldChar w:fldCharType="separate"/>
      </w:r>
      <w:r w:rsidR="00605F18" w:rsidRPr="00605F18">
        <w:rPr>
          <w:rFonts w:ascii="Calibri" w:hAnsi="Calibri" w:cs="Calibri"/>
        </w:rPr>
        <w:t>(Kroeber 2011)</w:t>
      </w:r>
      <w:r w:rsidR="008E23F9">
        <w:fldChar w:fldCharType="end"/>
      </w:r>
      <w:r w:rsidR="008E23F9">
        <w:t>.</w:t>
      </w:r>
      <w:r w:rsidR="009C6CC5">
        <w:t xml:space="preserve"> </w:t>
      </w:r>
      <w:r w:rsidR="00E273A0">
        <w:t>Contrary arguments</w:t>
      </w:r>
      <w:r w:rsidR="009D33A9">
        <w:t xml:space="preserve"> for</w:t>
      </w:r>
      <w:r w:rsidR="009C6CC5">
        <w:t xml:space="preserve"> growing</w:t>
      </w:r>
      <w:r w:rsidR="00177D8E">
        <w:t xml:space="preserve"> unrest and</w:t>
      </w:r>
      <w:r w:rsidR="009D33A9">
        <w:t xml:space="preserve"> </w:t>
      </w:r>
      <w:r w:rsidR="00177D8E">
        <w:t>coup</w:t>
      </w:r>
      <w:r w:rsidR="00DE3A38">
        <w:t xml:space="preserve"> attempts </w:t>
      </w:r>
      <w:r w:rsidR="00177D8E">
        <w:t xml:space="preserve">are </w:t>
      </w:r>
      <w:r w:rsidR="00DE3A38">
        <w:t>easily extended</w:t>
      </w:r>
      <w:r w:rsidR="00177D8E">
        <w:t xml:space="preserve"> to </w:t>
      </w:r>
      <w:r w:rsidR="00ED583D">
        <w:t>current crises</w:t>
      </w:r>
      <w:r w:rsidR="008E0FBE">
        <w:t xml:space="preserve"> in semi-autocratic</w:t>
      </w:r>
      <w:r w:rsidR="00532889">
        <w:t xml:space="preserve"> Turkey </w:t>
      </w:r>
      <w:r w:rsidR="00D76A24">
        <w:fldChar w:fldCharType="begin"/>
      </w:r>
      <w:r w:rsidR="00361248">
        <w:instrText xml:space="preserve"> ADDIN ZOTERO_ITEM CSL_CITATION {"citationID":"pwxS4FTx","properties":{"formattedCitation":"(Turkish economy shrinks again as currency crisis bites - Reuters n.d.)","plainCitation":"(Turkish economy shrinks again as currency crisis bites - Reuters n.d.)","noteIndex":0},"citationItems":[{"id":366,"uris":["http://zotero.org/users/5939705/items/CS5UXT5I"],"uri":["http://zotero.org/users/5939705/items/CS5UXT5I"],"itemData":{"id":366,"type":"webpage","title":"Turkish economy shrinks again as currency crisis bites - Reuters","URL":"https://www.reuters.com/article/us-turkey-economy-gdp/turkish-economy-shrinks-again-as-currency-crisis-bites-idUSKCN1T118O","accessed":{"date-parts":[["2020",1,20]]}}}],"schema":"https://github.com/citation-style-language/schema/raw/master/csl-citation.json"} </w:instrText>
      </w:r>
      <w:r w:rsidR="00D76A24">
        <w:fldChar w:fldCharType="separate"/>
      </w:r>
      <w:r w:rsidR="00361248" w:rsidRPr="00361248">
        <w:rPr>
          <w:rFonts w:ascii="Calibri" w:hAnsi="Calibri" w:cs="Calibri"/>
        </w:rPr>
        <w:t>(Turkish economy shrinks again as currency crisis bites - Reuters n.d.)</w:t>
      </w:r>
      <w:r w:rsidR="00D76A24">
        <w:fldChar w:fldCharType="end"/>
      </w:r>
      <w:r w:rsidR="00361248">
        <w:t xml:space="preserve"> </w:t>
      </w:r>
      <w:r w:rsidR="00532889">
        <w:t>and Venezuela</w:t>
      </w:r>
      <w:r w:rsidR="004E088C">
        <w:t xml:space="preserve"> </w:t>
      </w:r>
      <w:r w:rsidR="004E088C">
        <w:fldChar w:fldCharType="begin"/>
      </w:r>
      <w:r w:rsidR="005F24C2">
        <w:instrText xml:space="preserve"> ADDIN ZOTERO_ITEM CSL_CITATION {"citationID":"Vbfbv4uI","properties":{"formattedCitation":"(Venezuela approves parallel currency exchange system amid political crisis 2019)","plainCitation":"(Venezuela approves parallel currency exchange system amid political crisis 2019)","noteIndex":0},"citationItems":[{"id":364,"uris":["http://zotero.org/users/5939705/items/SFPLLH5G"],"uri":["http://zotero.org/users/5939705/items/SFPLLH5G"],"itemData":{"id":364,"type":"article-newspaper","abstract":"Venezuelan authorities on Monday approved a new, privately run foreign exchange ...","container-title":"Reuters","language":"en","source":"www.reuters.com","title":"Venezuela approves parallel currency exchange system amid political crisis","URL":"https://www.reuters.com/article/us-venezuela-economy-idUSKCN1PM2AA","accessed":{"date-parts":[["2020",1,20]]},"issued":{"date-parts":[["2019",1,28]]}}}],"schema":"https://github.com/citation-style-language/schema/raw/master/csl-citation.json"} </w:instrText>
      </w:r>
      <w:r w:rsidR="004E088C">
        <w:fldChar w:fldCharType="separate"/>
      </w:r>
      <w:r w:rsidR="005F24C2" w:rsidRPr="005F24C2">
        <w:rPr>
          <w:rFonts w:ascii="Calibri" w:hAnsi="Calibri" w:cs="Calibri"/>
        </w:rPr>
        <w:t xml:space="preserve">(Venezuela </w:t>
      </w:r>
      <w:r w:rsidR="005F24C2" w:rsidRPr="005F24C2">
        <w:rPr>
          <w:rFonts w:ascii="Calibri" w:hAnsi="Calibri" w:cs="Calibri"/>
        </w:rPr>
        <w:lastRenderedPageBreak/>
        <w:t>approves parallel currency exchange system amid political crisis 2019)</w:t>
      </w:r>
      <w:r w:rsidR="004E088C">
        <w:fldChar w:fldCharType="end"/>
      </w:r>
      <w:r w:rsidR="00C349E4">
        <w:t>. These nations are</w:t>
      </w:r>
      <w:r w:rsidR="005F24C2">
        <w:t xml:space="preserve"> caught in currency crises</w:t>
      </w:r>
      <w:r w:rsidR="009C6CC5">
        <w:t xml:space="preserve"> with political spillovers</w:t>
      </w:r>
      <w:r w:rsidR="005F24C2">
        <w:t>, due in part to fixed rate mismanagement</w:t>
      </w:r>
      <w:r w:rsidR="00D51506">
        <w:t>.</w:t>
      </w:r>
    </w:p>
    <w:p w14:paraId="739BA2D2" w14:textId="1AAD53FC"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electoral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r w:rsidR="0032659B">
        <w:t xml:space="preserve"> </w:t>
      </w:r>
      <w:r w:rsidR="00586085">
        <w:t xml:space="preserve">I </w:t>
      </w:r>
      <w:r w:rsidR="00446E54">
        <w:t xml:space="preserve">also </w:t>
      </w:r>
      <w:r w:rsidR="00586085">
        <w:t>extend the</w:t>
      </w:r>
      <w:r w:rsidR="00A44050">
        <w:t>ory</w:t>
      </w:r>
      <w:r w:rsidR="00586085">
        <w:t xml:space="preserve"> to cover</w:t>
      </w:r>
      <w:r w:rsidR="00446E54">
        <w:t xml:space="preserve"> </w:t>
      </w:r>
      <w:r w:rsidR="00586085">
        <w:t>autocratic cases</w:t>
      </w:r>
      <w:r w:rsidR="001D34D6">
        <w:t>, which I have not seen tested in the literature</w:t>
      </w:r>
      <w:r w:rsidR="00FF2C88">
        <w:t>.</w:t>
      </w:r>
    </w:p>
    <w:p w14:paraId="4CCB8E4C" w14:textId="6D6759CA"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4475616E"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Politicians may threaten to </w:t>
      </w:r>
      <w:r w:rsidR="001905D8" w:rsidRPr="00101DC0">
        <w:t>remove central bank officials from office</w:t>
      </w:r>
      <w:r w:rsidR="00012955" w:rsidRPr="00101DC0">
        <w:t>: President T</w:t>
      </w:r>
      <w:r w:rsidR="00012955" w:rsidRPr="00CC5258">
        <w:t>rump</w:t>
      </w:r>
      <w:r w:rsidR="00320EF3" w:rsidRPr="00CC5258">
        <w:t xml:space="preserve"> </w:t>
      </w:r>
      <w:r w:rsidR="00BB42F2" w:rsidRPr="00CC5258">
        <w:t xml:space="preserve">considered legal options to </w:t>
      </w:r>
      <w:r w:rsidR="00106027" w:rsidRPr="00CC5258">
        <w:t xml:space="preserve">remove </w:t>
      </w:r>
      <w:r w:rsidR="00C855BC" w:rsidRPr="00CC5258">
        <w:t>Cha</w:t>
      </w:r>
      <w:r w:rsidR="00320EF3" w:rsidRPr="00CC5258">
        <w:t>i</w:t>
      </w:r>
      <w:r w:rsidR="00C855BC" w:rsidRPr="00CC5258">
        <w:t xml:space="preserve">rman </w:t>
      </w:r>
      <w:r w:rsidR="00320EF3" w:rsidRPr="00CC5258">
        <w:t>Powell</w:t>
      </w:r>
      <w:r w:rsidR="00837DB8" w:rsidRPr="00CC5258">
        <w:t xml:space="preserve"> </w:t>
      </w:r>
      <w:r w:rsidR="002A51B7" w:rsidRPr="00716DFD">
        <w:fldChar w:fldCharType="begin"/>
      </w:r>
      <w:r w:rsidR="00837DB8" w:rsidRPr="00716DFD">
        <w:instrText xml:space="preserve"> ADDIN ZOTERO_ITEM CSL_CITATION {"citationID":"Uo0tNJ6v","properties":{"formattedCitation":"(Can Trump Fire Fed Chair Jerome Powell? n.d.)","plainCitation":"(Can Trump Fire Fed Chair Jerome Powell? n.d.)","noteIndex":0},"citationItems":[{"id":300,"uris":["http://zotero.org/users/5939705/items/M8IJ6FWN"],"uri":["http://zotero.org/users/5939705/items/M8IJ6FWN"],"itemData":{"id":300,"type":"webpage","abstract":"Trump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Powell?","URL":"https://fortune.com/2019/06/19/can-trump-fire-jerome-powell/","accessed":{"date-parts":[["2020",1,8]]}}}],"schema":"https://github.com/citation-style-language/schema/raw/master/csl-citation.json"} </w:instrText>
      </w:r>
      <w:r w:rsidR="002A51B7" w:rsidRPr="00716DFD">
        <w:fldChar w:fldCharType="separate"/>
      </w:r>
      <w:r w:rsidR="00837DB8" w:rsidRPr="00716DFD">
        <w:rPr>
          <w:rFonts w:ascii="Calibri" w:hAnsi="Calibri" w:cs="Calibri"/>
        </w:rPr>
        <w:t>(Can Trump Fire Fed Chair Jerome Powell? n.d.)</w:t>
      </w:r>
      <w:r w:rsidR="002A51B7" w:rsidRPr="00716DFD">
        <w:fldChar w:fldCharType="end"/>
      </w:r>
      <w:r w:rsidR="00837DB8" w:rsidRPr="00716DFD">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 the Johnson and Nixon administrations</w:t>
      </w:r>
      <w:r w:rsidR="00E766F8" w:rsidRPr="00716DFD">
        <w:t xml:space="preserve"> </w:t>
      </w:r>
      <w:r w:rsidR="00AB219B" w:rsidRPr="00716DFD">
        <w:fldChar w:fldCharType="begin"/>
      </w:r>
      <w:r w:rsidR="001B3D6A" w:rsidRPr="00716DFD">
        <w:instrText xml:space="preserve"> ADDIN ZOTERO_ITEM CSL_CITATION {"citationID":"bLw8ua44","properties":{"formattedCitation":"(Trump is attacking the Federal Reserve. This explains why \\uc0\\u8212{} and what comes next. - The Washington Post n.d.)","plainCitation":"(Trump is attacking the Federal Reserve. This explains why — and what comes next. - The Washington Post n.d.)","noteIndex":0},"citationItems":[{"id":302,"uris":["http://zotero.org/users/5939705/items/TFMI89QR"],"uri":["http://zotero.org/users/5939705/items/TFMI89QR"],"itemData":{"id":302,"type":"webpage","title":"Trump is attacking the Federal Reserve. This explains why — and what comes next. - The Washington Post","URL":"https://www.washingtonpost.com/politics/2019/08/27/why-is-trump-attacking-federal-reserve-we-answer-your-questions/","accessed":{"date-parts":[["2020",1,8]]}}}],"schema":"https://github.com/citation-style-language/schema/raw/master/csl-citation.json"} </w:instrText>
      </w:r>
      <w:r w:rsidR="00AB219B" w:rsidRPr="00716DFD">
        <w:fldChar w:fldCharType="separate"/>
      </w:r>
      <w:r w:rsidR="001B3D6A" w:rsidRPr="00716DFD">
        <w:rPr>
          <w:rFonts w:ascii="Calibri" w:hAnsi="Calibri" w:cs="Calibri"/>
          <w:szCs w:val="24"/>
        </w:rPr>
        <w:t>(Trump is attacking the Federal Reserve. This explains why — and what comes next. - The Washington Post n.d.)</w:t>
      </w:r>
      <w:r w:rsidR="00AB219B" w:rsidRPr="00716DFD">
        <w:fldChar w:fldCharType="end"/>
      </w:r>
      <w:r w:rsidR="00E766F8" w:rsidRPr="00716DFD">
        <w:t>.</w:t>
      </w:r>
    </w:p>
    <w:p w14:paraId="46614A4F" w14:textId="28314263" w:rsidR="00B173B4"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65040C">
        <w:t xml:space="preserve">Interactions with </w:t>
      </w:r>
      <w:r w:rsidR="00BF59DF">
        <w:t xml:space="preserve">levels of capital controls and trade openness are considered. </w:t>
      </w:r>
      <w:r w:rsidR="007A660B">
        <w:t xml:space="preserve">Fixed effects and controls are employed to account for institutional differences </w:t>
      </w:r>
      <w:r w:rsidR="00E75EC4">
        <w:t xml:space="preserve">between countries. </w:t>
      </w:r>
      <w:r w:rsidR="005247E7" w:rsidRPr="00FA4AC6">
        <w:t>Education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 </w:t>
      </w:r>
      <w:r w:rsidR="009605E9">
        <w:t>Th</w:t>
      </w:r>
      <w:r w:rsidR="008743E5">
        <w:t>ese topics</w:t>
      </w:r>
      <w:r w:rsidR="009605E9">
        <w:t xml:space="preserve"> </w:t>
      </w:r>
      <w:r w:rsidR="008743E5">
        <w:t>are</w:t>
      </w:r>
      <w:r w:rsidR="009605E9">
        <w:t xml:space="preserve"> covered in the next few sections.</w:t>
      </w:r>
    </w:p>
    <w:p w14:paraId="189041A4" w14:textId="7C072E4E" w:rsidR="00293DEB" w:rsidRDefault="00783030" w:rsidP="00293DEB">
      <w:r>
        <w:t xml:space="preserve">Finally, </w:t>
      </w:r>
      <w:r w:rsidR="00AD798A">
        <w:t xml:space="preserve">I </w:t>
      </w:r>
      <w:r w:rsidR="003C0254">
        <w:t>then present</w:t>
      </w:r>
      <w:r w:rsidR="00AD798A">
        <w:t xml:space="preserve"> results that </w:t>
      </w:r>
      <w:r w:rsidR="003C0254">
        <w:t>demonstrate</w:t>
      </w:r>
      <w:r w:rsidR="006F0B4D">
        <w:t xml:space="preserve"> </w:t>
      </w:r>
      <w:r w:rsidR="006F0B4D" w:rsidRPr="006F0B4D">
        <w:rPr>
          <w:highlight w:val="yellow"/>
        </w:rPr>
        <w:t>FINDINGS</w:t>
      </w:r>
      <w:r w:rsidR="006F0B4D">
        <w:t xml:space="preserve">. </w:t>
      </w:r>
      <w:r w:rsidR="00293DEB" w:rsidRPr="00783030">
        <w:rPr>
          <w:highlight w:val="yellow"/>
        </w:rPr>
        <w:t>Implications: which theoretical chunks are best supported</w:t>
      </w:r>
      <w:r>
        <w:t>.</w:t>
      </w:r>
      <w:r w:rsidR="008F672C">
        <w:t xml:space="preserve"> </w:t>
      </w:r>
      <w:r w:rsidR="00463AA5">
        <w:t>I conclude with a discussion of these and other implications and directions for future research.</w:t>
      </w:r>
      <w:r w:rsidR="000A1D30">
        <w:t xml:space="preserve"> </w:t>
      </w:r>
      <w:r w:rsidR="00293DEB" w:rsidRPr="00E94E8C">
        <w:t>Th</w:t>
      </w:r>
      <w:r w:rsidR="00F46E93">
        <w:t xml:space="preserve">e </w:t>
      </w:r>
      <w:r w:rsidR="00293DEB" w:rsidRPr="00E94E8C">
        <w:t xml:space="preserve">consideration of any destabilizing effects of limiting regimes may add a new dimension to any normative debates over their adoption. </w:t>
      </w:r>
      <w:r w:rsidR="008B551D">
        <w:t>The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expected</w:t>
      </w:r>
      <w:r w:rsidR="00641F31">
        <w:t xml:space="preserve"> based on various factors</w:t>
      </w:r>
      <w:r w:rsidR="00732762">
        <w:t>.</w:t>
      </w:r>
    </w:p>
    <w:p w14:paraId="7ACA3215" w14:textId="16648533" w:rsidR="00C53701" w:rsidRDefault="0021672B" w:rsidP="00043B4B">
      <w:pPr>
        <w:pStyle w:val="Heading1"/>
      </w:pPr>
      <w:r>
        <w:t>Theory</w:t>
      </w:r>
    </w:p>
    <w:p w14:paraId="4732706E" w14:textId="612B347B"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F04AAF" w:rsidRPr="007E7107">
        <w:instrText xml:space="preserve"> ADDIN ZOTERO_ITEM CSL_CITATION {"citationID":"McC5Enej","properties":{"formattedCitation":"(Alesina, Roubini, and Cohen 1997)","plainCitation":"(Alesina, Roubini, and Cohen 1997)","dontUpdate":true,"noteIndex":0},"citationItems":[{"id":211,"uris":["http://zotero.org/users/5939705/items/IBU925PS"],"uri":["http://zotero.org/users/5939705/items/IBU925PS"],"itemData":{"id":211,"type":"book","call-number":"JA77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 xml:space="preserve">seek to </w:t>
      </w:r>
      <w:r w:rsidR="006B32AA" w:rsidRPr="007E7107">
        <w:lastRenderedPageBreak/>
        <w:t>deliver electoral victory</w:t>
      </w:r>
      <w:r w:rsidR="00A86DD0" w:rsidRPr="007E7107">
        <w:t xml:space="preserve">. </w:t>
      </w:r>
      <w:r w:rsidR="00C66B4C" w:rsidRPr="007E7107">
        <w:t>As will become clear, however, in one strand the</w:t>
      </w:r>
      <w:r w:rsidR="001D520B" w:rsidRPr="007E7107">
        <w:t xml:space="preserve">ir </w:t>
      </w:r>
      <w:r w:rsidR="00E467DC" w:rsidRPr="007E7107">
        <w:t>electoral</w:t>
      </w:r>
      <w:r w:rsidR="001D520B" w:rsidRPr="007E7107">
        <w:t xml:space="preserve"> 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limiting regimes</w:t>
      </w:r>
      <w:r w:rsidR="006C5F06" w:rsidRPr="007E7107">
        <w:t xml:space="preserve"> </w:t>
      </w:r>
      <w:r w:rsidR="003476CB" w:rsidRPr="007E7107">
        <w:t xml:space="preserve">prevent </w:t>
      </w:r>
      <w:r w:rsidR="000D69EC">
        <w:t xml:space="preserve">opportunistic or partisan </w:t>
      </w:r>
      <w:r w:rsidR="00767CC1" w:rsidRPr="007E7107">
        <w:t xml:space="preserve">political business cycle </w:t>
      </w:r>
      <w:r w:rsidR="00C725AB" w:rsidRPr="007E7107">
        <w:t>manipulations</w:t>
      </w:r>
      <w:r w:rsidR="005567A7" w:rsidRPr="007E7107">
        <w:t xml:space="preserve"> of voters</w:t>
      </w:r>
      <w:r w:rsidR="002B09C5" w:rsidRPr="007E7107">
        <w:t xml:space="preserve"> and </w:t>
      </w:r>
      <w:r w:rsidR="00A627E3" w:rsidRPr="007E7107">
        <w:t>are electorally costly</w:t>
      </w:r>
      <w:r w:rsidR="00FA4738" w:rsidRPr="007E7107">
        <w:t>.</w:t>
      </w:r>
      <w:r w:rsidR="005567A7">
        <w:t xml:space="preserve"> </w:t>
      </w:r>
      <w:r w:rsidR="00346E46">
        <w:t xml:space="preserve">Mechanisms from both strands are then translated into electoral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15521AB4"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191F89" w:rsidRPr="00544DA1">
        <w:instrText xml:space="preserve"> ADDIN ZOTERO_ITEM CSL_CITATION {"citationID":"5NQGY400","properties":{"formattedCitation":"(Alesina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4D1AAC">
        <w:instrText xml:space="preserve"> ADDIN ZOTERO_ITEM CSL_CITATION {"citationID":"Rv7Quhh9","properties":{"formattedCitation":"(Robert A. Mundell 1961)","plainCitation":"(Robert A. Mundell 1961)","noteIndex":0},"citationItems":[{"id":295,"uris":["http://zotero.org/users/5939705/items/3JN5F978"],"uri":["http://zotero.org/users/5939705/items/3JN5F978"],"itemData":{"id":295,"type":"article-journal","archive":"JSTOR","container-title":"The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 xml:space="preserve">for any nations faced with an “original sin” problem, able only to borrow in foreign currency </w:t>
      </w:r>
      <w:r w:rsidR="00D42B35">
        <w:fldChar w:fldCharType="begin"/>
      </w:r>
      <w:r w:rsidR="00D42B35">
        <w:instrText xml:space="preserve"> ADDIN ZOTERO_ITEM CSL_CITATION {"citationID":"8nBAaVbv","properties":{"formattedCitation":"(Eichengreen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D42B35">
        <w:fldChar w:fldCharType="separate"/>
      </w:r>
      <w:r w:rsidR="00D42B35" w:rsidRPr="004D5196">
        <w:rPr>
          <w:rFonts w:ascii="Calibri" w:hAnsi="Calibri" w:cs="Calibri"/>
        </w:rPr>
        <w:t>(Eichengreen and Hausmann 2005)</w:t>
      </w:r>
      <w:r w:rsidR="00D42B35">
        <w:fldChar w:fldCharType="end"/>
      </w:r>
      <w:r w:rsidR="00D42B35">
        <w:t>.</w:t>
      </w:r>
    </w:p>
    <w:p w14:paraId="2BA4B391" w14:textId="07EDB0DB"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trust</w:t>
      </w:r>
      <w:r w:rsidR="00BA34DF">
        <w:t xml:space="preserve"> </w:t>
      </w:r>
      <w:r w:rsidR="00BA34DF">
        <w:fldChar w:fldCharType="begin"/>
      </w:r>
      <w:r w:rsidR="00BA34DF">
        <w:instrText xml:space="preserve"> ADDIN ZOTERO_ITEM CSL_CITATION {"citationID":"g9RYMHG2","properties":{"formattedCitation":"(Bernhard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6C746B7C"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DD4EC5">
        <w:instrText xml:space="preserve"> ADDIN ZOTERO_ITEM CSL_CITATION {"citationID":"F4dlqm5U","properties":{"formattedCitation":"(Bernanke 2015)","plainCitation":"(Bernanke 2015)","noteIndex":0},"citationItems":[{"id":332,"uris":["http://zotero.org/users/5939705/items/YUZY8VQL"],"uri":["http://zotero.org/users/5939705/items/YUZY8VQL"],"itemData":{"id":332,"type":"post-weblog","abstract":"&lt;p&gt;Ben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BA78CB" w:rsidRPr="00A4168F">
        <w:instrText xml:space="preserve"> ADDIN ZOTERO_ITEM CSL_CITATION {"citationID":"eLof2ebE","properties":{"formattedCitation":"(Krugman 2011)","plainCitation":"(Krugman 2011)","noteIndex":0},"citationItems":[{"id":467,"uris":["http://zotero.org/users/5939705/items/FT4773IU"],"uri":["http://zotero.org/users/5939705/items/FT4773IU"],"itemData":{"id":467,"type":"article-newspaper","abstract":"The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72CF2FE8"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w:t>
      </w:r>
      <w:r w:rsidR="003E6324">
        <w:lastRenderedPageBreak/>
        <w:t>controls are introduced</w:t>
      </w:r>
      <w:r w:rsidR="0088178D">
        <w:t xml:space="preserve"> </w:t>
      </w:r>
      <w:r w:rsidR="0088178D">
        <w:fldChar w:fldCharType="begin"/>
      </w:r>
      <w:r w:rsidR="0088178D">
        <w:instrText xml:space="preserve"> ADDIN ZOTERO_ITEM CSL_CITATION {"citationID":"Dn9xZYK1","properties":{"formattedCitation":"(Fleming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3"/>
      </w:r>
    </w:p>
    <w:p w14:paraId="294EC8FA" w14:textId="77777777" w:rsidR="008F54B5" w:rsidRDefault="00312B2D" w:rsidP="00421CAB">
      <w:r w:rsidRPr="00312B2D">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B735AB">
        <w:instrText xml:space="preserve"> ADDIN ZOTERO_ITEM CSL_CITATION {"citationID":"2uvMFqdU","properties":{"formattedCitation":"(Fels n.d.)","plainCitation":"(Fels n.d.)","noteIndex":0},"citationItems":[{"id":337,"uris":["http://zotero.org/users/5939705/items/JTUBDSKY"],"uri":["http://zotero.org/users/5939705/items/JTUBDSKY"],"itemData":{"id":337,"type":"webpage","abstract":"What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schema":"https://github.com/citation-style-language/schema/raw/master/csl-citation.json"} </w:instrText>
      </w:r>
      <w:r w:rsidR="00F90723">
        <w:fldChar w:fldCharType="separate"/>
      </w:r>
      <w:r w:rsidR="00B735AB" w:rsidRPr="00B735AB">
        <w:rPr>
          <w:rFonts w:ascii="Calibri" w:hAnsi="Calibri" w:cs="Calibri"/>
        </w:rPr>
        <w:t>(Fels n.d.)</w:t>
      </w:r>
      <w:r w:rsidR="00F90723">
        <w:fldChar w:fldCharType="end"/>
      </w:r>
      <w:r w:rsidR="00F90723">
        <w:t>.</w:t>
      </w:r>
      <w:r w:rsidR="00DC0C78">
        <w:t xml:space="preserve"> </w:t>
      </w:r>
    </w:p>
    <w:p w14:paraId="2AAC9AFB" w14:textId="641A32A0"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7C63EE">
        <w:instrText xml:space="preserve"> ADDIN ZOTERO_ITEM CSL_CITATION {"citationID":"FhEi1KmS","properties":{"formattedCitation":"(IRR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D82A9A">
        <w:fldChar w:fldCharType="separate"/>
      </w:r>
      <w:r w:rsidR="007C63EE" w:rsidRPr="007C63EE">
        <w:rPr>
          <w:rFonts w:ascii="Calibri" w:hAnsi="Calibri" w:cs="Calibri"/>
        </w:rPr>
        <w:t>(IRR Data n.d.)</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3CDE5311"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872E1C">
        <w:instrText xml:space="preserve"> ADDIN ZOTERO_ITEM CSL_CITATION {"citationID":"Heko5LM0","properties":{"formattedCitation":"(Alesina, Roubini, and Cohen 1997)","plainCitation":"(Alesina, Roubini, and Cohen 1997)","noteIndex":0},"citationItems":[{"id":211,"uris":["http://zotero.org/users/5939705/items/IBU925PS"],"uri":["http://zotero.org/users/5939705/items/IBU925PS"],"itemData":{"id":211,"type":"book","call-number":"JA77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551D85">
        <w:instrText xml:space="preserve"> ADDIN ZOTERO_ITEM CSL_CITATION {"citationID":"2xB2o444","properties":{"formattedCitation":"(Fortunato and Loftis 2018)","plainCitation":"(Fortunato and Loftis 2018)","noteIndex":0},"citationItems":[{"id":277,"uris":["http://zotero.org/users/5939705/items/LKEDCYKC"],"uri":["http://zotero.org/users/5939705/items/LKEDCYKC"],"itemData":{"id":277,"type":"article-journal","abstract":"We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74CCA87F"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0E19D9">
        <w:instrText xml:space="preserve"> ADDIN ZOTERO_ITEM CSL_CITATION {"citationID":"VQLWRHE9","properties":{"formattedCitation":"(Maloney, Pickering, and Hadri 2003)","plainCitation":"(Maloney, Pickering, and Hadri 2003)","noteIndex":0},"citationItems":[{"id":313,"uris":["http://zotero.org/users/5939705/items/2GIDITZR"],"uri":["http://zotero.org/users/5939705/items/2GIDITZR"],"itemData":{"id":313,"type":"article-journal","abstract":"This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5C0DE475"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w:t>
      </w:r>
      <w:r>
        <w:rPr>
          <w:lang w:val="en-GB"/>
        </w:rPr>
        <w:lastRenderedPageBreak/>
        <w:t>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Pr>
          <w:lang w:val="en-GB"/>
        </w:rPr>
        <w:instrText xml:space="preserve"> ADDIN ZOTERO_ITEM CSL_CITATION {"citationID":"ZnQtI6Gz","properties":{"formattedCitation":"(Bodea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0F31F64"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trilemma, </w:t>
      </w:r>
      <w:r w:rsidR="00FF2943">
        <w:t>in an open economy</w:t>
      </w:r>
      <w:r w:rsidR="00813038">
        <w:t xml:space="preserve"> </w:t>
      </w:r>
      <w:r w:rsidR="00BB2AC6">
        <w:t xml:space="preserve">without capital controls, </w:t>
      </w:r>
      <w:r w:rsidR="00813038">
        <w:t>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4"/>
      </w:r>
    </w:p>
    <w:p w14:paraId="5B046E51" w14:textId="172ECDE7"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particularly important for </w:t>
      </w:r>
      <w:r w:rsidR="000F356C">
        <w:t>any nations faced with an “</w:t>
      </w:r>
      <w:r w:rsidR="00CB231E">
        <w:t xml:space="preserve">original sin” problem, able only to borrow in foreign currency </w:t>
      </w:r>
      <w:r w:rsidR="00CB231E">
        <w:fldChar w:fldCharType="begin"/>
      </w:r>
      <w:r w:rsidR="005D03C9">
        <w:instrText xml:space="preserve"> ADDIN ZOTERO_ITEM CSL_CITATION {"citationID":"e8UgaB4u","properties":{"formattedCitation":"(Eichengreen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7535EB2D"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8B4F7F">
        <w:instrText xml:space="preserve"> ADDIN ZOTERO_ITEM CSL_CITATION {"citationID":"mcuXNMZ2","properties":{"formattedCitation":"(William Roberts Clark et al. 1998)","plainCitation":"(William Roberts Clark et al. 1998)","noteIndex":0},"citationItems":[{"id":316,"uris":["http://zotero.org/users/5939705/items/3JPY4HEU"],"uri":["http://zotero.org/users/5939705/items/3JPY4HEU"],"itemData":{"id":316,"type":"article-journal","abstract":"The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2C538952" w:rsidR="00AA7640" w:rsidRDefault="0088346C" w:rsidP="002E72B3">
      <w:r>
        <w:t xml:space="preserve">Central to the electoral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r w:rsidR="00730930">
        <w:t xml:space="preserve"> </w:t>
      </w:r>
    </w:p>
    <w:p w14:paraId="0B7CDC97" w14:textId="498A88A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341652" w:rsidRPr="00A069EB">
        <w:instrText xml:space="preserve"> ADDIN ZOTERO_ITEM CSL_CITATION {"citationID":"04iMfrD3","properties":{"formattedCitation":"(Lewis-Beck and Stegmaier 2019; Nadeau and Lewis-Beck 2001)","plainCitation":"(Lewis-Beck and Stegmaier 2019; Nadeau and Lewis-Beck 2001)","noteIndex":0},"citationItems":[{"id":323,"uris":["http://zotero.org/users/5939705/items/4UIHK76I"],"uri":["http://zotero.org/users/5939705/items/4UIHK76I"],"itemData":{"id":323,"type":"article-journal","abstract":"We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243,"uris":["http://zotero.org/users/5939705/items/RBQ65FGY"],"uri":["http://zotero.org/users/5939705/items/RBQ65FGY"],"itemData":{"id":243,"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5"/>
      </w:r>
      <w:r w:rsidR="00B339E6">
        <w:t xml:space="preserve"> I am </w:t>
      </w:r>
      <w:r w:rsidR="005A57B5">
        <w:t>able to abstract from these prospective cases</w:t>
      </w:r>
      <w:r w:rsidR="002A2EFC">
        <w:t xml:space="preserve"> by making use of </w:t>
      </w:r>
      <w:r w:rsidR="0023029F">
        <w:t>detailed</w:t>
      </w:r>
      <w:r w:rsidR="006A6F5A">
        <w:t xml:space="preserve"> </w:t>
      </w:r>
      <w:r w:rsidR="00995CA5">
        <w:t>data</w:t>
      </w:r>
      <w:r w:rsidR="00E81872">
        <w:t xml:space="preserve"> on whether incumbents are running,</w:t>
      </w:r>
      <w:r w:rsidR="00EE2F7C">
        <w:t xml:space="preserve"> </w:t>
      </w:r>
      <w:r w:rsidR="00995CA5">
        <w:t xml:space="preserve">and by noting that prospective evaluations are </w:t>
      </w:r>
      <w:r w:rsidR="00E81872">
        <w:t xml:space="preserve">still </w:t>
      </w:r>
      <w:r w:rsidR="00995CA5">
        <w:t>likely to be informed by past performance.</w:t>
      </w:r>
    </w:p>
    <w:p w14:paraId="22FE51E3" w14:textId="2553A130" w:rsidR="00C003DA" w:rsidRDefault="004E59FE" w:rsidP="002E72B3">
      <w:r>
        <w:lastRenderedPageBreak/>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6"/>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C003DA">
        <w:instrText xml:space="preserve"> ADDIN ZOTERO_ITEM CSL_CITATION {"citationID":"ea0U6F5G","properties":{"formattedCitation":"(Tufte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Clinton’s chief strategist James Carville put up a sign in campaign headquarters that read: “It’s the economy, stupid!” </w:t>
      </w:r>
      <w:r w:rsidR="00C003DA">
        <w:fldChar w:fldCharType="begin"/>
      </w:r>
      <w:r w:rsidR="00C003DA">
        <w:instrText xml:space="preserve"> ADDIN ZOTERO_ITEM CSL_CITATION {"citationID":"TIk9J3ue","properties":{"formattedCitation":"(Anderson 2007)","plainCitation":"(Anderson 2007)","noteIndex":0},"citationItems":[{"id":325,"uris":["http://zotero.org/users/5939705/items/RKASPTD9"],"uri":["http://zotero.org/users/5939705/items/RKASPTD9"],"itemData":{"id":325,"type":"paper-conference","abstract":"▪ Abstract The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3041EB5D" w:rsidR="00EB3505" w:rsidRPr="004D7053" w:rsidRDefault="007554F9" w:rsidP="00630CF6">
      <w:pPr>
        <w:rPr>
          <w:highlight w:val="yellow"/>
        </w:rPr>
      </w:pPr>
      <w:r>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7"/>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594642AC"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816439" w:rsidRPr="003B5B20">
        <w:rPr>
          <w:lang w:val="en-GB"/>
        </w:rPr>
        <w:instrText xml:space="preserve"> ADDIN ZOTERO_ITEM CSL_CITATION {"citationID":"b8dHw60x","properties":{"formattedCitation":"(Downs 1957)","plainCitation":"(Downs 1957)","noteIndex":0},"citationItems":[{"id":334,"uris":["http://zotero.org/users/5939705/items/XLQ6UL8D"],"uri":["http://zotero.org/users/5939705/items/XLQ6UL8D"],"itemData":{"id":334,"type":"article-journal","archive":"JSTOR","container-title":"Journal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61FF448" w14:textId="29CD8C8B" w:rsidR="00483905" w:rsidRDefault="009D3396" w:rsidP="009D3396">
      <w:pPr>
        <w:pStyle w:val="Heading2"/>
        <w:rPr>
          <w:lang w:val="en-GB"/>
        </w:rPr>
      </w:pPr>
      <w:r>
        <w:rPr>
          <w:lang w:val="en-GB"/>
        </w:rPr>
        <w:t>Adjustments for Autocracies</w:t>
      </w:r>
    </w:p>
    <w:p w14:paraId="7D042878" w14:textId="29EC6D43" w:rsidR="00322FE8" w:rsidRPr="00322FE8" w:rsidRDefault="00322FE8" w:rsidP="009D3396">
      <w:pPr>
        <w:rPr>
          <w:i/>
          <w:iCs/>
          <w:highlight w:val="cyan"/>
        </w:rPr>
      </w:pPr>
      <w:r w:rsidRPr="00322FE8">
        <w:rPr>
          <w:i/>
          <w:iCs/>
          <w:highlight w:val="cyan"/>
        </w:rPr>
        <w:t>May eliminate based on small sample size/insignificance with respect to data.</w:t>
      </w:r>
    </w:p>
    <w:p w14:paraId="7A1D537F" w14:textId="033756A8" w:rsidR="00954896" w:rsidRPr="00322FE8" w:rsidRDefault="00975C7D" w:rsidP="009D3396">
      <w:pPr>
        <w:rPr>
          <w:highlight w:val="cyan"/>
        </w:rPr>
      </w:pPr>
      <w:r w:rsidRPr="00322FE8">
        <w:rPr>
          <w:highlight w:val="cyan"/>
        </w:rPr>
        <w:t xml:space="preserve">In </w:t>
      </w:r>
      <w:r w:rsidR="006726AD" w:rsidRPr="00322FE8">
        <w:rPr>
          <w:highlight w:val="cyan"/>
        </w:rPr>
        <w:t xml:space="preserve">an </w:t>
      </w:r>
      <w:r w:rsidRPr="00322FE8">
        <w:rPr>
          <w:highlight w:val="cyan"/>
        </w:rPr>
        <w:t>autocracy,</w:t>
      </w:r>
      <w:r w:rsidR="00BD0478" w:rsidRPr="00322FE8">
        <w:rPr>
          <w:highlight w:val="cyan"/>
        </w:rPr>
        <w:t xml:space="preserve"> many</w:t>
      </w:r>
      <w:r w:rsidRPr="00322FE8">
        <w:rPr>
          <w:highlight w:val="cyan"/>
        </w:rPr>
        <w:t xml:space="preserve"> </w:t>
      </w:r>
      <w:r w:rsidR="00D35612" w:rsidRPr="00322FE8">
        <w:rPr>
          <w:highlight w:val="cyan"/>
        </w:rPr>
        <w:t xml:space="preserve">of the above mechanisms </w:t>
      </w:r>
      <w:r w:rsidR="00C97376" w:rsidRPr="00322FE8">
        <w:rPr>
          <w:highlight w:val="cyan"/>
        </w:rPr>
        <w:t>may be altered</w:t>
      </w:r>
      <w:r w:rsidR="006726AD" w:rsidRPr="00322FE8">
        <w:rPr>
          <w:highlight w:val="cyan"/>
        </w:rPr>
        <w:t xml:space="preserve"> or non-existent.</w:t>
      </w:r>
      <w:r w:rsidR="00F45771" w:rsidRPr="00322FE8">
        <w:rPr>
          <w:highlight w:val="cyan"/>
        </w:rPr>
        <w:t xml:space="preserve"> </w:t>
      </w:r>
      <w:r w:rsidR="009E1EFC" w:rsidRPr="00322FE8">
        <w:rPr>
          <w:highlight w:val="cyan"/>
        </w:rPr>
        <w:t>The classification of regimes from democracy to a</w:t>
      </w:r>
      <w:r w:rsidR="00954896" w:rsidRPr="00322FE8">
        <w:rPr>
          <w:highlight w:val="cyan"/>
        </w:rPr>
        <w:t>utocracy may</w:t>
      </w:r>
      <w:r w:rsidR="009F502B" w:rsidRPr="00322FE8">
        <w:rPr>
          <w:highlight w:val="cyan"/>
        </w:rPr>
        <w:t xml:space="preserve"> contain many facets</w:t>
      </w:r>
      <w:r w:rsidR="009E1EFC" w:rsidRPr="00322FE8">
        <w:rPr>
          <w:highlight w:val="cyan"/>
        </w:rPr>
        <w:t>, but for our purposes</w:t>
      </w:r>
      <w:r w:rsidR="004D73ED" w:rsidRPr="00322FE8">
        <w:rPr>
          <w:highlight w:val="cyan"/>
        </w:rPr>
        <w:t xml:space="preserve"> </w:t>
      </w:r>
      <w:r w:rsidR="005854AA" w:rsidRPr="00322FE8">
        <w:rPr>
          <w:highlight w:val="cyan"/>
        </w:rPr>
        <w:t xml:space="preserve">there are </w:t>
      </w:r>
      <w:r w:rsidR="004D73ED" w:rsidRPr="00322FE8">
        <w:rPr>
          <w:highlight w:val="cyan"/>
        </w:rPr>
        <w:t>two important characteristics which inform specific prediction</w:t>
      </w:r>
      <w:r w:rsidR="00F93BC3" w:rsidRPr="00322FE8">
        <w:rPr>
          <w:highlight w:val="cyan"/>
        </w:rPr>
        <w:t>s</w:t>
      </w:r>
      <w:r w:rsidR="000F26CF" w:rsidRPr="00322FE8">
        <w:rPr>
          <w:highlight w:val="cyan"/>
        </w:rPr>
        <w:t xml:space="preserve"> on changes to these mechanisms</w:t>
      </w:r>
      <w:r w:rsidR="004D3BC9" w:rsidRPr="00322FE8">
        <w:rPr>
          <w:highlight w:val="cyan"/>
        </w:rPr>
        <w:t xml:space="preserve"> </w:t>
      </w:r>
      <w:r w:rsidR="00022FA5" w:rsidRPr="00322FE8">
        <w:rPr>
          <w:highlight w:val="cyan"/>
        </w:rPr>
        <w:fldChar w:fldCharType="begin"/>
      </w:r>
      <w:r w:rsidR="00FC3544" w:rsidRPr="00322FE8">
        <w:rPr>
          <w:highlight w:val="cyan"/>
        </w:rPr>
        <w:instrText xml:space="preserve"> ADDIN ZOTERO_ITEM CSL_CITATION {"citationID":"HwqU1YYV","properties":{"formattedCitation":"(PolityProject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00022FA5" w:rsidRPr="00322FE8">
        <w:rPr>
          <w:highlight w:val="cyan"/>
        </w:rPr>
        <w:fldChar w:fldCharType="separate"/>
      </w:r>
      <w:r w:rsidR="00FC3544" w:rsidRPr="00322FE8">
        <w:rPr>
          <w:rFonts w:ascii="Calibri" w:hAnsi="Calibri" w:cs="Calibri"/>
          <w:highlight w:val="cyan"/>
        </w:rPr>
        <w:t>(PolityProject n.d.)</w:t>
      </w:r>
      <w:r w:rsidR="00022FA5" w:rsidRPr="00322FE8">
        <w:rPr>
          <w:highlight w:val="cyan"/>
        </w:rPr>
        <w:fldChar w:fldCharType="end"/>
      </w:r>
      <w:r w:rsidR="00022FA5" w:rsidRPr="00322FE8">
        <w:rPr>
          <w:highlight w:val="cyan"/>
        </w:rPr>
        <w:t>.</w:t>
      </w:r>
      <w:r w:rsidR="00FC3544" w:rsidRPr="00322FE8">
        <w:rPr>
          <w:highlight w:val="cyan"/>
        </w:rPr>
        <w:t xml:space="preserve"> </w:t>
      </w:r>
      <w:r w:rsidR="00F93BC3" w:rsidRPr="00322FE8">
        <w:rPr>
          <w:highlight w:val="cyan"/>
        </w:rPr>
        <w:t>Autocracies may have a</w:t>
      </w:r>
      <w:r w:rsidR="00E60FB9" w:rsidRPr="00322FE8">
        <w:rPr>
          <w:highlight w:val="cyan"/>
        </w:rPr>
        <w:t xml:space="preserve"> low level of constraints on the executive</w:t>
      </w:r>
      <w:r w:rsidR="000D319F" w:rsidRPr="00322FE8">
        <w:rPr>
          <w:highlight w:val="cyan"/>
        </w:rPr>
        <w:t xml:space="preserve"> with respect to policy decisions. They may also </w:t>
      </w:r>
      <w:r w:rsidR="00CD5A9D" w:rsidRPr="00322FE8">
        <w:rPr>
          <w:highlight w:val="cyan"/>
        </w:rPr>
        <w:t xml:space="preserve">lack a level of competitiveness in the </w:t>
      </w:r>
      <w:r w:rsidR="0097063D" w:rsidRPr="00322FE8">
        <w:rPr>
          <w:highlight w:val="cyan"/>
        </w:rPr>
        <w:t xml:space="preserve">selection of </w:t>
      </w:r>
      <w:r w:rsidR="00F36E27" w:rsidRPr="00322FE8">
        <w:rPr>
          <w:highlight w:val="cyan"/>
        </w:rPr>
        <w:t>those in power.</w:t>
      </w:r>
    </w:p>
    <w:p w14:paraId="47BC0AD4" w14:textId="00F283DF" w:rsidR="000C2D58" w:rsidRPr="00322FE8" w:rsidRDefault="00AF237C" w:rsidP="006A05E1">
      <w:pPr>
        <w:rPr>
          <w:highlight w:val="cyan"/>
        </w:rPr>
      </w:pPr>
      <w:r w:rsidRPr="00322FE8">
        <w:rPr>
          <w:highlight w:val="cyan"/>
        </w:rPr>
        <w:lastRenderedPageBreak/>
        <w:t>In cases of weak constraints on the executive</w:t>
      </w:r>
      <w:r w:rsidR="006A05E1" w:rsidRPr="00322FE8">
        <w:rPr>
          <w:highlight w:val="cyan"/>
        </w:rPr>
        <w:t xml:space="preserve">, it is harder to </w:t>
      </w:r>
      <w:r w:rsidR="009177E1" w:rsidRPr="00322FE8">
        <w:rPr>
          <w:highlight w:val="cyan"/>
        </w:rPr>
        <w:t xml:space="preserve">place credibility on any limitations </w:t>
      </w:r>
      <w:r w:rsidR="007128AE" w:rsidRPr="00322FE8">
        <w:rPr>
          <w:highlight w:val="cyan"/>
        </w:rPr>
        <w:t>of autocratic power.</w:t>
      </w:r>
      <w:r w:rsidR="002C7C0D" w:rsidRPr="00322FE8">
        <w:rPr>
          <w:highlight w:val="cyan"/>
        </w:rPr>
        <w:t xml:space="preserve"> </w:t>
      </w:r>
      <w:r w:rsidR="0091456A" w:rsidRPr="00322FE8">
        <w:rPr>
          <w:highlight w:val="cyan"/>
        </w:rPr>
        <w:t xml:space="preserve">For central bank independence, </w:t>
      </w:r>
      <w:r w:rsidR="0047051D" w:rsidRPr="00322FE8">
        <w:rPr>
          <w:highlight w:val="cyan"/>
        </w:rPr>
        <w:t>the law</w:t>
      </w:r>
      <w:r w:rsidR="0093018B" w:rsidRPr="00322FE8">
        <w:rPr>
          <w:highlight w:val="cyan"/>
        </w:rPr>
        <w:t xml:space="preserve"> (</w:t>
      </w:r>
      <w:r w:rsidR="00772D50" w:rsidRPr="00322FE8">
        <w:rPr>
          <w:highlight w:val="cyan"/>
        </w:rPr>
        <w:t>d</w:t>
      </w:r>
      <w:r w:rsidR="006A05E1" w:rsidRPr="00322FE8">
        <w:rPr>
          <w:highlight w:val="cyan"/>
        </w:rPr>
        <w:t>e jure</w:t>
      </w:r>
      <w:r w:rsidR="0093018B" w:rsidRPr="00322FE8">
        <w:rPr>
          <w:highlight w:val="cyan"/>
        </w:rPr>
        <w:t xml:space="preserve"> independence)</w:t>
      </w:r>
      <w:r w:rsidR="006A05E1" w:rsidRPr="00322FE8">
        <w:rPr>
          <w:highlight w:val="cyan"/>
        </w:rPr>
        <w:t xml:space="preserve"> </w:t>
      </w:r>
      <w:r w:rsidR="00B76A00" w:rsidRPr="00322FE8">
        <w:rPr>
          <w:highlight w:val="cyan"/>
        </w:rPr>
        <w:t xml:space="preserve">may be unable </w:t>
      </w:r>
      <w:r w:rsidR="0093018B" w:rsidRPr="00322FE8">
        <w:rPr>
          <w:highlight w:val="cyan"/>
        </w:rPr>
        <w:t xml:space="preserve">to </w:t>
      </w:r>
      <w:r w:rsidR="005D5B07" w:rsidRPr="00322FE8">
        <w:rPr>
          <w:highlight w:val="cyan"/>
        </w:rPr>
        <w:t xml:space="preserve">stand up to </w:t>
      </w:r>
      <w:r w:rsidR="00C05B64" w:rsidRPr="00322FE8">
        <w:rPr>
          <w:highlight w:val="cyan"/>
        </w:rPr>
        <w:t xml:space="preserve">dictatorial </w:t>
      </w:r>
      <w:r w:rsidR="00FA46F6" w:rsidRPr="00322FE8">
        <w:rPr>
          <w:highlight w:val="cyan"/>
        </w:rPr>
        <w:t>desires to alter or ignore</w:t>
      </w:r>
      <w:r w:rsidR="004028E9" w:rsidRPr="00322FE8">
        <w:rPr>
          <w:highlight w:val="cyan"/>
        </w:rPr>
        <w:t xml:space="preserve"> it</w:t>
      </w:r>
      <w:r w:rsidR="00625EDA" w:rsidRPr="00322FE8">
        <w:rPr>
          <w:highlight w:val="cyan"/>
        </w:rPr>
        <w:t>.</w:t>
      </w:r>
      <w:r w:rsidR="004028E9" w:rsidRPr="00322FE8">
        <w:rPr>
          <w:highlight w:val="cyan"/>
        </w:rPr>
        <w:t xml:space="preserve"> </w:t>
      </w:r>
      <w:r w:rsidR="003232BC" w:rsidRPr="00322FE8">
        <w:rPr>
          <w:highlight w:val="cyan"/>
        </w:rPr>
        <w:t>This means de jure independence can lose many of its commitment benefits</w:t>
      </w:r>
      <w:r w:rsidR="000D208B" w:rsidRPr="00322FE8">
        <w:rPr>
          <w:highlight w:val="cyan"/>
        </w:rPr>
        <w:t xml:space="preserve"> due to even the possibility of such behavior</w:t>
      </w:r>
      <w:r w:rsidR="003232BC" w:rsidRPr="00322FE8">
        <w:rPr>
          <w:highlight w:val="cyan"/>
        </w:rPr>
        <w:t>.</w:t>
      </w:r>
      <w:r w:rsidR="00716088" w:rsidRPr="00322FE8">
        <w:rPr>
          <w:highlight w:val="cyan"/>
        </w:rPr>
        <w:t xml:space="preserve"> </w:t>
      </w:r>
      <w:r w:rsidR="00CB02E5" w:rsidRPr="00322FE8">
        <w:rPr>
          <w:highlight w:val="cyan"/>
        </w:rPr>
        <w:t>Fo</w:t>
      </w:r>
      <w:r w:rsidR="00C47EA0" w:rsidRPr="00322FE8">
        <w:rPr>
          <w:highlight w:val="cyan"/>
        </w:rPr>
        <w:t xml:space="preserve">r </w:t>
      </w:r>
      <w:r w:rsidR="00B60D6A" w:rsidRPr="00322FE8">
        <w:rPr>
          <w:highlight w:val="cyan"/>
        </w:rPr>
        <w:t xml:space="preserve">example, </w:t>
      </w:r>
      <w:r w:rsidR="00716088" w:rsidRPr="00322FE8">
        <w:rPr>
          <w:highlight w:val="cyan"/>
        </w:rPr>
        <w:t xml:space="preserve">with </w:t>
      </w:r>
      <w:r w:rsidR="00CB02E5" w:rsidRPr="00322FE8">
        <w:rPr>
          <w:highlight w:val="cyan"/>
        </w:rPr>
        <w:t>the problem of time-inconsistency</w:t>
      </w:r>
      <w:r w:rsidR="007B70F7" w:rsidRPr="00322FE8">
        <w:rPr>
          <w:highlight w:val="cyan"/>
        </w:rPr>
        <w:t xml:space="preserve">, </w:t>
      </w:r>
      <w:r w:rsidR="00716088" w:rsidRPr="00322FE8">
        <w:rPr>
          <w:highlight w:val="cyan"/>
        </w:rPr>
        <w:t xml:space="preserve">there may be </w:t>
      </w:r>
      <w:r w:rsidR="00075A6B" w:rsidRPr="00322FE8">
        <w:rPr>
          <w:highlight w:val="cyan"/>
        </w:rPr>
        <w:t>a loss of control of inflation expectations</w:t>
      </w:r>
      <w:r w:rsidR="0088480A" w:rsidRPr="00322FE8">
        <w:rPr>
          <w:highlight w:val="cyan"/>
        </w:rPr>
        <w:t>.</w:t>
      </w:r>
      <w:r w:rsidR="00A043B4" w:rsidRPr="00322FE8">
        <w:rPr>
          <w:highlight w:val="cyan"/>
        </w:rPr>
        <w:t xml:space="preserve"> </w:t>
      </w:r>
      <w:r w:rsidR="00DE770A" w:rsidRPr="00322FE8">
        <w:rPr>
          <w:highlight w:val="cyan"/>
        </w:rPr>
        <w:t>On the other hand, policy f</w:t>
      </w:r>
      <w:r w:rsidR="00FF3ADC" w:rsidRPr="00322FE8">
        <w:rPr>
          <w:highlight w:val="cyan"/>
        </w:rPr>
        <w:t>lexibility</w:t>
      </w:r>
      <w:r w:rsidR="00DE770A" w:rsidRPr="00322FE8">
        <w:rPr>
          <w:highlight w:val="cyan"/>
        </w:rPr>
        <w:t xml:space="preserve"> and the potential for political m</w:t>
      </w:r>
      <w:r w:rsidR="00FF3ADC" w:rsidRPr="00322FE8">
        <w:rPr>
          <w:highlight w:val="cyan"/>
        </w:rPr>
        <w:t>anipulation</w:t>
      </w:r>
      <w:r w:rsidR="00DE770A" w:rsidRPr="00322FE8">
        <w:rPr>
          <w:highlight w:val="cyan"/>
        </w:rPr>
        <w:t xml:space="preserve"> may return.</w:t>
      </w:r>
      <w:r w:rsidR="00A043B4" w:rsidRPr="00322FE8">
        <w:rPr>
          <w:highlight w:val="cyan"/>
        </w:rPr>
        <w:t xml:space="preserve"> In sum</w:t>
      </w:r>
      <w:r w:rsidR="008C429A" w:rsidRPr="00322FE8">
        <w:rPr>
          <w:highlight w:val="cyan"/>
        </w:rPr>
        <w:t xml:space="preserve">, de jure central bank independence </w:t>
      </w:r>
      <w:r w:rsidR="007E6413" w:rsidRPr="00322FE8">
        <w:rPr>
          <w:highlight w:val="cyan"/>
        </w:rPr>
        <w:t>is unlikely</w:t>
      </w:r>
      <w:r w:rsidR="00271868" w:rsidRPr="00322FE8">
        <w:rPr>
          <w:highlight w:val="cyan"/>
        </w:rPr>
        <w:t xml:space="preserve"> to fit</w:t>
      </w:r>
      <w:r w:rsidR="002C2319" w:rsidRPr="00322FE8">
        <w:rPr>
          <w:highlight w:val="cyan"/>
        </w:rPr>
        <w:t xml:space="preserve"> </w:t>
      </w:r>
      <w:r w:rsidR="00F26B3C" w:rsidRPr="00322FE8">
        <w:rPr>
          <w:highlight w:val="cyan"/>
        </w:rPr>
        <w:t xml:space="preserve">any of the </w:t>
      </w:r>
      <w:r w:rsidR="00AB613E" w:rsidRPr="00322FE8">
        <w:rPr>
          <w:highlight w:val="cyan"/>
        </w:rPr>
        <w:t>theoretical expectations outlined above</w:t>
      </w:r>
      <w:r w:rsidR="007E6413" w:rsidRPr="00322FE8">
        <w:rPr>
          <w:highlight w:val="cyan"/>
        </w:rPr>
        <w:t xml:space="preserve"> in </w:t>
      </w:r>
      <w:r w:rsidR="00F22770" w:rsidRPr="00322FE8">
        <w:rPr>
          <w:highlight w:val="cyan"/>
        </w:rPr>
        <w:t>the presence of weak executive constraints</w:t>
      </w:r>
      <w:r w:rsidR="007E6413" w:rsidRPr="00322FE8">
        <w:rPr>
          <w:highlight w:val="cyan"/>
        </w:rPr>
        <w:t>.</w:t>
      </w:r>
    </w:p>
    <w:p w14:paraId="08701946" w14:textId="25FF4F27" w:rsidR="006A05E1" w:rsidRPr="00322FE8" w:rsidRDefault="00A15D98" w:rsidP="009D3396">
      <w:pPr>
        <w:rPr>
          <w:highlight w:val="cyan"/>
        </w:rPr>
      </w:pPr>
      <w:r w:rsidRPr="00322FE8">
        <w:rPr>
          <w:highlight w:val="cyan"/>
        </w:rPr>
        <w:t>Several possible corrections present themselves.</w:t>
      </w:r>
      <w:r w:rsidR="001667B7" w:rsidRPr="00322FE8">
        <w:rPr>
          <w:highlight w:val="cyan"/>
        </w:rPr>
        <w:t xml:space="preserve"> </w:t>
      </w:r>
      <w:r w:rsidR="00D354D0" w:rsidRPr="00322FE8">
        <w:rPr>
          <w:highlight w:val="cyan"/>
          <w:lang w:val="en-GB"/>
        </w:rPr>
        <w:t>De facto central bank independence</w:t>
      </w:r>
      <w:r w:rsidR="001667B7" w:rsidRPr="00322FE8">
        <w:rPr>
          <w:highlight w:val="cyan"/>
          <w:lang w:val="en-GB"/>
        </w:rPr>
        <w:t>, perhaps established through norms or informal constraints,</w:t>
      </w:r>
      <w:r w:rsidR="00D354D0" w:rsidRPr="00322FE8">
        <w:rPr>
          <w:highlight w:val="cyan"/>
          <w:lang w:val="en-GB"/>
        </w:rPr>
        <w:t xml:space="preserve"> may </w:t>
      </w:r>
      <w:r w:rsidR="0090741C" w:rsidRPr="00322FE8">
        <w:rPr>
          <w:highlight w:val="cyan"/>
          <w:lang w:val="en-GB"/>
        </w:rPr>
        <w:t xml:space="preserve">still </w:t>
      </w:r>
      <w:r w:rsidR="00D354D0" w:rsidRPr="00322FE8">
        <w:rPr>
          <w:highlight w:val="cyan"/>
          <w:lang w:val="en-GB"/>
        </w:rPr>
        <w:t>be credible</w:t>
      </w:r>
      <w:r w:rsidR="001667B7" w:rsidRPr="00322FE8">
        <w:rPr>
          <w:highlight w:val="cyan"/>
          <w:lang w:val="en-GB"/>
        </w:rPr>
        <w:t>.</w:t>
      </w:r>
      <w:r w:rsidR="001710B0" w:rsidRPr="00322FE8">
        <w:rPr>
          <w:highlight w:val="cyan"/>
        </w:rPr>
        <w:t xml:space="preserve"> Previous studies have found that </w:t>
      </w:r>
      <w:r w:rsidR="006D072F" w:rsidRPr="00322FE8">
        <w:rPr>
          <w:highlight w:val="cyan"/>
        </w:rPr>
        <w:t>the turnover of central bank governors</w:t>
      </w:r>
      <w:r w:rsidR="009119D9" w:rsidRPr="00322FE8">
        <w:rPr>
          <w:highlight w:val="cyan"/>
        </w:rPr>
        <w:t xml:space="preserve"> rather than de jure independence</w:t>
      </w:r>
      <w:r w:rsidR="006D072F" w:rsidRPr="00322FE8">
        <w:rPr>
          <w:highlight w:val="cyan"/>
        </w:rPr>
        <w:t xml:space="preserve"> </w:t>
      </w:r>
      <w:r w:rsidR="005205DF" w:rsidRPr="00322FE8">
        <w:rPr>
          <w:highlight w:val="cyan"/>
        </w:rPr>
        <w:t>is</w:t>
      </w:r>
      <w:r w:rsidR="00EE59DE" w:rsidRPr="00322FE8">
        <w:rPr>
          <w:highlight w:val="cyan"/>
        </w:rPr>
        <w:t xml:space="preserve"> a good predictor </w:t>
      </w:r>
      <w:r w:rsidR="009119D9" w:rsidRPr="00322FE8">
        <w:rPr>
          <w:highlight w:val="cyan"/>
        </w:rPr>
        <w:t xml:space="preserve">of inflation credibility in </w:t>
      </w:r>
      <w:r w:rsidR="00967128" w:rsidRPr="00322FE8">
        <w:rPr>
          <w:highlight w:val="cyan"/>
        </w:rPr>
        <w:t>developing</w:t>
      </w:r>
      <w:r w:rsidR="009119D9" w:rsidRPr="00322FE8">
        <w:rPr>
          <w:highlight w:val="cyan"/>
        </w:rPr>
        <w:t xml:space="preserve"> </w:t>
      </w:r>
      <w:r w:rsidR="00B56C11" w:rsidRPr="00322FE8">
        <w:rPr>
          <w:highlight w:val="cyan"/>
        </w:rPr>
        <w:t>nations</w:t>
      </w:r>
      <w:r w:rsidR="009119D9" w:rsidRPr="00322FE8">
        <w:rPr>
          <w:highlight w:val="cyan"/>
        </w:rPr>
        <w:t xml:space="preserve"> </w:t>
      </w:r>
      <w:r w:rsidR="0091456A" w:rsidRPr="00322FE8">
        <w:rPr>
          <w:highlight w:val="cyan"/>
          <w:lang w:val="en-GB"/>
        </w:rPr>
        <w:fldChar w:fldCharType="begin"/>
      </w:r>
      <w:r w:rsidR="0091456A" w:rsidRPr="00322FE8">
        <w:rPr>
          <w:highlight w:val="cyan"/>
          <w:lang w:val="en-GB"/>
        </w:rPr>
        <w:instrText xml:space="preserve"> ADDIN ZOTERO_ITEM CSL_CITATION {"citationID":"x2eJbfgO","properties":{"formattedCitation":"(Cukierman,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91456A" w:rsidRPr="00322FE8">
        <w:rPr>
          <w:highlight w:val="cyan"/>
          <w:lang w:val="en-GB"/>
        </w:rPr>
        <w:fldChar w:fldCharType="separate"/>
      </w:r>
      <w:r w:rsidR="0091456A" w:rsidRPr="00322FE8">
        <w:rPr>
          <w:rFonts w:ascii="Calibri" w:hAnsi="Calibri" w:cs="Calibri"/>
          <w:highlight w:val="cyan"/>
        </w:rPr>
        <w:t>(Cukierman, Webb, and Neyapti 1992)</w:t>
      </w:r>
      <w:r w:rsidR="0091456A" w:rsidRPr="00322FE8">
        <w:rPr>
          <w:highlight w:val="cyan"/>
          <w:lang w:val="en-GB"/>
        </w:rPr>
        <w:fldChar w:fldCharType="end"/>
      </w:r>
      <w:r w:rsidR="00F134E1" w:rsidRPr="00322FE8">
        <w:rPr>
          <w:highlight w:val="cyan"/>
          <w:lang w:val="en-GB"/>
        </w:rPr>
        <w:t>; da</w:t>
      </w:r>
      <w:r w:rsidR="00E84AE9" w:rsidRPr="00322FE8">
        <w:rPr>
          <w:highlight w:val="cyan"/>
          <w:lang w:val="en-GB"/>
        </w:rPr>
        <w:t xml:space="preserve">ta on this </w:t>
      </w:r>
      <w:r w:rsidR="00780AD2" w:rsidRPr="00322FE8">
        <w:rPr>
          <w:highlight w:val="cyan"/>
          <w:lang w:val="en-GB"/>
        </w:rPr>
        <w:t>can be</w:t>
      </w:r>
      <w:r w:rsidR="00E84AE9" w:rsidRPr="00322FE8">
        <w:rPr>
          <w:highlight w:val="cyan"/>
          <w:lang w:val="en-GB"/>
        </w:rPr>
        <w:t xml:space="preserve"> employed</w:t>
      </w:r>
      <w:r w:rsidR="00780AD2" w:rsidRPr="00322FE8">
        <w:rPr>
          <w:highlight w:val="cyan"/>
          <w:lang w:val="en-GB"/>
        </w:rPr>
        <w:t xml:space="preserve"> to modify the theory</w:t>
      </w:r>
      <w:r w:rsidR="00FB078F" w:rsidRPr="00322FE8">
        <w:rPr>
          <w:highlight w:val="cyan"/>
          <w:lang w:val="en-GB"/>
        </w:rPr>
        <w:t xml:space="preserve">. </w:t>
      </w:r>
      <w:r w:rsidR="00F16EDE" w:rsidRPr="00322FE8">
        <w:rPr>
          <w:highlight w:val="cyan"/>
        </w:rPr>
        <w:t>O</w:t>
      </w:r>
      <w:r w:rsidR="006A05E1" w:rsidRPr="00322FE8">
        <w:rPr>
          <w:highlight w:val="cyan"/>
        </w:rPr>
        <w:t>ther work</w:t>
      </w:r>
      <w:r w:rsidR="00F16EDE" w:rsidRPr="00322FE8">
        <w:rPr>
          <w:highlight w:val="cyan"/>
        </w:rPr>
        <w:t xml:space="preserve"> suggests</w:t>
      </w:r>
      <w:r w:rsidR="006A05E1" w:rsidRPr="00322FE8">
        <w:rPr>
          <w:highlight w:val="cyan"/>
        </w:rPr>
        <w:t xml:space="preserve"> </w:t>
      </w:r>
      <w:r w:rsidR="00F16EDE" w:rsidRPr="00322FE8">
        <w:rPr>
          <w:highlight w:val="cyan"/>
        </w:rPr>
        <w:t>that</w:t>
      </w:r>
      <w:r w:rsidR="006A05E1" w:rsidRPr="00322FE8">
        <w:rPr>
          <w:highlight w:val="cyan"/>
        </w:rPr>
        <w:t xml:space="preserve"> a lack of credibility for central banking in </w:t>
      </w:r>
      <w:r w:rsidR="00166A4A" w:rsidRPr="00322FE8">
        <w:rPr>
          <w:highlight w:val="cyan"/>
        </w:rPr>
        <w:t>the face of a lack of</w:t>
      </w:r>
      <w:r w:rsidR="003A7BB7" w:rsidRPr="00322FE8">
        <w:rPr>
          <w:highlight w:val="cyan"/>
        </w:rPr>
        <w:t xml:space="preserve"> </w:t>
      </w:r>
      <w:r w:rsidR="00166A4A" w:rsidRPr="00322FE8">
        <w:rPr>
          <w:highlight w:val="cyan"/>
        </w:rPr>
        <w:t>constraints</w:t>
      </w:r>
      <w:r w:rsidR="001405B2" w:rsidRPr="00322FE8">
        <w:rPr>
          <w:highlight w:val="cyan"/>
        </w:rPr>
        <w:t xml:space="preserve"> on autocrats</w:t>
      </w:r>
      <w:r w:rsidR="006A05E1" w:rsidRPr="00322FE8">
        <w:rPr>
          <w:highlight w:val="cyan"/>
        </w:rPr>
        <w:t xml:space="preserve"> makes fixed rates </w:t>
      </w:r>
      <w:r w:rsidR="00B029B3" w:rsidRPr="00322FE8">
        <w:rPr>
          <w:highlight w:val="cyan"/>
        </w:rPr>
        <w:t>the</w:t>
      </w:r>
      <w:r w:rsidR="006A05E1" w:rsidRPr="00322FE8">
        <w:rPr>
          <w:highlight w:val="cyan"/>
        </w:rPr>
        <w:t xml:space="preserve"> preferred</w:t>
      </w:r>
      <w:r w:rsidR="00727430" w:rsidRPr="00322FE8">
        <w:rPr>
          <w:highlight w:val="cyan"/>
        </w:rPr>
        <w:t xml:space="preserve"> </w:t>
      </w:r>
      <w:r w:rsidR="00007602" w:rsidRPr="00322FE8">
        <w:rPr>
          <w:highlight w:val="cyan"/>
        </w:rPr>
        <w:t>commitment device</w:t>
      </w:r>
      <w:r w:rsidR="00727430" w:rsidRPr="00322FE8">
        <w:rPr>
          <w:highlight w:val="cyan"/>
        </w:rPr>
        <w:t xml:space="preserve"> </w:t>
      </w:r>
      <w:r w:rsidR="006A05E1" w:rsidRPr="00322FE8">
        <w:rPr>
          <w:highlight w:val="cyan"/>
        </w:rPr>
        <w:fldChar w:fldCharType="begin"/>
      </w:r>
      <w:r w:rsidR="006A05E1" w:rsidRPr="00322FE8">
        <w:rPr>
          <w:highlight w:val="cyan"/>
        </w:rPr>
        <w:instrText xml:space="preserve"> ADDIN ZOTERO_ITEM CSL_CITATION {"citationID":"JXlbhuUV","properties":{"formattedCitation":"(Broz 2002)","plainCitation":"(Broz 2002)","noteIndex":0},"citationItems":[{"id":306,"uris":["http://zotero.org/users/5939705/items/EBXF733S"],"uri":["http://zotero.org/users/5939705/items/EBXF733S"],"itemData":{"id":306,"type":"article-journal","abstract":"Central bank independence (CBI) and fixed exchange rates are alternative monetary commitments that differ in transparency. While CBI is opaque and difficult to monitor, a commitment to a fixed exchange rate is easily observed. Political systems also vary in terms of transparency. I argue that the transparency of monetary commitments and the transparency of political systems are substitutes. Where political decision making is opaque (autocracies), governments must look to a commitment that is more transparent and constrained (fixed exchange rates) than the government itself. The transparency of the monetary commitment substitutes for the transparency of the political system to engender low inflation. Where the political process is transparent (democracies), a formal commitment to CBI can produce lower inflation because private agents and the political opposition are free to detect and punish government interference with the central bank. Statistical results indicate that (1) autocracies are more likely to adopt exchange-rate pegs than democracies, and (2) CBI is effective in limiting inflation in nations with high levels of political transparency.","archive":"JSTOR","container-title":"International Organization","ISSN":"0020-8183","issue":"4","page":"861-887","source":"JSTOR","title":"Political System Transparency and Monetary Commitment Regimes","volume":"56","author":[{"family":"Broz","given":"J. Lawrence"}],"issued":{"date-parts":[["2002"]]}}}],"schema":"https://github.com/citation-style-language/schema/raw/master/csl-citation.json"} </w:instrText>
      </w:r>
      <w:r w:rsidR="006A05E1" w:rsidRPr="00322FE8">
        <w:rPr>
          <w:highlight w:val="cyan"/>
        </w:rPr>
        <w:fldChar w:fldCharType="separate"/>
      </w:r>
      <w:r w:rsidR="006A05E1" w:rsidRPr="00322FE8">
        <w:rPr>
          <w:rFonts w:ascii="Calibri" w:hAnsi="Calibri" w:cs="Calibri"/>
          <w:highlight w:val="cyan"/>
        </w:rPr>
        <w:t>(Broz 2002)</w:t>
      </w:r>
      <w:r w:rsidR="006A05E1" w:rsidRPr="00322FE8">
        <w:rPr>
          <w:highlight w:val="cyan"/>
        </w:rPr>
        <w:fldChar w:fldCharType="end"/>
      </w:r>
      <w:r w:rsidR="006A05E1" w:rsidRPr="00322FE8">
        <w:rPr>
          <w:highlight w:val="cyan"/>
        </w:rPr>
        <w:t>.</w:t>
      </w:r>
      <w:r w:rsidR="00FB078F" w:rsidRPr="00322FE8">
        <w:rPr>
          <w:highlight w:val="cyan"/>
        </w:rPr>
        <w:t xml:space="preserve"> </w:t>
      </w:r>
      <w:r w:rsidR="00991C9B" w:rsidRPr="00322FE8">
        <w:rPr>
          <w:highlight w:val="cyan"/>
        </w:rPr>
        <w:t xml:space="preserve">Exchange rate pegs </w:t>
      </w:r>
      <w:r w:rsidR="00007602" w:rsidRPr="00322FE8">
        <w:rPr>
          <w:highlight w:val="cyan"/>
        </w:rPr>
        <w:t>are more transparent than central bank</w:t>
      </w:r>
      <w:r w:rsidR="00CB3E82" w:rsidRPr="00322FE8">
        <w:rPr>
          <w:highlight w:val="cyan"/>
        </w:rPr>
        <w:t>ing</w:t>
      </w:r>
      <w:r w:rsidR="00C85D7A" w:rsidRPr="00322FE8">
        <w:rPr>
          <w:highlight w:val="cyan"/>
        </w:rPr>
        <w:t xml:space="preserve"> as they are </w:t>
      </w:r>
      <w:r w:rsidR="00E37CDC" w:rsidRPr="00322FE8">
        <w:rPr>
          <w:highlight w:val="cyan"/>
        </w:rPr>
        <w:t>visibly</w:t>
      </w:r>
      <w:r w:rsidR="00C85D7A" w:rsidRPr="00322FE8">
        <w:rPr>
          <w:highlight w:val="cyan"/>
        </w:rPr>
        <w:t xml:space="preserve"> sustained or </w:t>
      </w:r>
      <w:r w:rsidR="00E37CDC" w:rsidRPr="00322FE8">
        <w:rPr>
          <w:highlight w:val="cyan"/>
        </w:rPr>
        <w:t>abandoned</w:t>
      </w:r>
      <w:r w:rsidR="00A208A6" w:rsidRPr="00322FE8">
        <w:rPr>
          <w:highlight w:val="cyan"/>
        </w:rPr>
        <w:t xml:space="preserve">, and hence more difficult </w:t>
      </w:r>
      <w:r w:rsidR="008F0C69" w:rsidRPr="00322FE8">
        <w:rPr>
          <w:highlight w:val="cyan"/>
        </w:rPr>
        <w:t>to renege on</w:t>
      </w:r>
      <w:r w:rsidR="00247936" w:rsidRPr="00322FE8">
        <w:rPr>
          <w:highlight w:val="cyan"/>
        </w:rPr>
        <w:t xml:space="preserve">. </w:t>
      </w:r>
      <w:r w:rsidR="00FB078F" w:rsidRPr="00322FE8">
        <w:rPr>
          <w:highlight w:val="cyan"/>
        </w:rPr>
        <w:t>As an alternative approach, then, central bank independence may be dropped from the specification</w:t>
      </w:r>
      <w:r w:rsidR="00EB3B82" w:rsidRPr="00322FE8">
        <w:rPr>
          <w:highlight w:val="cyan"/>
        </w:rPr>
        <w:t xml:space="preserve"> in favor of fixed rates</w:t>
      </w:r>
      <w:r w:rsidR="00FB078F" w:rsidRPr="00322FE8">
        <w:rPr>
          <w:highlight w:val="cyan"/>
        </w:rPr>
        <w:t>.</w:t>
      </w:r>
    </w:p>
    <w:p w14:paraId="22A2536B" w14:textId="13E2C391" w:rsidR="00622612" w:rsidRPr="00322FE8" w:rsidRDefault="00D0720F" w:rsidP="009D3396">
      <w:pPr>
        <w:rPr>
          <w:highlight w:val="cyan"/>
          <w:lang w:val="en-GB"/>
        </w:rPr>
      </w:pPr>
      <w:r w:rsidRPr="00322FE8">
        <w:rPr>
          <w:highlight w:val="cyan"/>
          <w:lang w:val="en-GB"/>
        </w:rPr>
        <w:t>The idea of</w:t>
      </w:r>
      <w:r w:rsidR="00AF1943" w:rsidRPr="00322FE8">
        <w:rPr>
          <w:highlight w:val="cyan"/>
          <w:lang w:val="en-GB"/>
        </w:rPr>
        <w:t xml:space="preserve"> economic voting</w:t>
      </w:r>
      <w:r w:rsidR="004538AC" w:rsidRPr="00322FE8">
        <w:rPr>
          <w:highlight w:val="cyan"/>
          <w:lang w:val="en-GB"/>
        </w:rPr>
        <w:t xml:space="preserve"> in autocracies </w:t>
      </w:r>
      <w:r w:rsidR="00F7722A" w:rsidRPr="00322FE8">
        <w:rPr>
          <w:highlight w:val="cyan"/>
          <w:lang w:val="en-GB"/>
        </w:rPr>
        <w:t xml:space="preserve">runs into problems </w:t>
      </w:r>
      <w:r w:rsidR="003F41D0" w:rsidRPr="00322FE8">
        <w:rPr>
          <w:highlight w:val="cyan"/>
          <w:lang w:val="en-GB"/>
        </w:rPr>
        <w:t xml:space="preserve">due to </w:t>
      </w:r>
      <w:r w:rsidR="00EC5BC4" w:rsidRPr="00322FE8">
        <w:rPr>
          <w:highlight w:val="cyan"/>
          <w:lang w:val="en-GB"/>
        </w:rPr>
        <w:t>obvious reasons</w:t>
      </w:r>
      <w:r w:rsidR="00D01578" w:rsidRPr="00322FE8">
        <w:rPr>
          <w:highlight w:val="cyan"/>
          <w:lang w:val="en-GB"/>
        </w:rPr>
        <w:t>.</w:t>
      </w:r>
      <w:r w:rsidR="00F052CD" w:rsidRPr="00322FE8">
        <w:rPr>
          <w:highlight w:val="cyan"/>
          <w:lang w:val="en-GB"/>
        </w:rPr>
        <w:t xml:space="preserve"> Although many</w:t>
      </w:r>
      <w:r w:rsidR="00A50065" w:rsidRPr="00322FE8">
        <w:rPr>
          <w:highlight w:val="cyan"/>
          <w:lang w:val="en-GB"/>
        </w:rPr>
        <w:t xml:space="preserve"> autocracies worldwide continue to have elections</w:t>
      </w:r>
      <w:r w:rsidR="00B22DD3" w:rsidRPr="00322FE8">
        <w:rPr>
          <w:highlight w:val="cyan"/>
          <w:lang w:val="en-GB"/>
        </w:rPr>
        <w:t xml:space="preserve"> </w:t>
      </w:r>
      <w:r w:rsidR="00B22DD3" w:rsidRPr="00322FE8">
        <w:rPr>
          <w:highlight w:val="cyan"/>
          <w:lang w:val="en-GB"/>
        </w:rPr>
        <w:fldChar w:fldCharType="begin"/>
      </w:r>
      <w:r w:rsidR="00BD7B2A" w:rsidRPr="00322FE8">
        <w:rPr>
          <w:highlight w:val="cyan"/>
          <w:lang w:val="en-GB"/>
        </w:rPr>
        <w:instrText xml:space="preserve"> ADDIN ZOTERO_ITEM CSL_CITATION {"citationID":"ERM6scar","properties":{"formattedCitation":"(Freedom House 2017)","plainCitation":"(Freedom House 2017)","noteIndex":0},"citationItems":[{"id":475,"uris":["http://zotero.org/users/5939705/items/L6MXHXIK"],"uri":["http://zotero.org/users/5939705/items/L6MXHXIK"],"itemData":{"id":475,"type":"webpage","abstract":"Report Navigation Executive Summary Introduction 1. Elections","language":"en","title":"Modern Authoritarianism: Elections","title-short":"Modern Authoritarianism","URL":"https://freedomhouse.org/report/modern-authoritarianism-elections","author":[{"literal":"Freedom House"}],"accessed":{"date-parts":[["2020",2,9]]},"issued":{"date-parts":[["2017",5,24]]}}}],"schema":"https://github.com/citation-style-language/schema/raw/master/csl-citation.json"} </w:instrText>
      </w:r>
      <w:r w:rsidR="00B22DD3" w:rsidRPr="00322FE8">
        <w:rPr>
          <w:highlight w:val="cyan"/>
          <w:lang w:val="en-GB"/>
        </w:rPr>
        <w:fldChar w:fldCharType="separate"/>
      </w:r>
      <w:r w:rsidR="00BD7B2A" w:rsidRPr="00322FE8">
        <w:rPr>
          <w:rFonts w:ascii="Calibri" w:hAnsi="Calibri" w:cs="Calibri"/>
          <w:highlight w:val="cyan"/>
        </w:rPr>
        <w:t>(Freedom House 2017)</w:t>
      </w:r>
      <w:r w:rsidR="00B22DD3" w:rsidRPr="00322FE8">
        <w:rPr>
          <w:highlight w:val="cyan"/>
          <w:lang w:val="en-GB"/>
        </w:rPr>
        <w:fldChar w:fldCharType="end"/>
      </w:r>
      <w:r w:rsidR="00EB7B41" w:rsidRPr="00322FE8">
        <w:rPr>
          <w:highlight w:val="cyan"/>
          <w:lang w:val="en-GB"/>
        </w:rPr>
        <w:t>, their c</w:t>
      </w:r>
      <w:r w:rsidR="001038CE" w:rsidRPr="00322FE8">
        <w:rPr>
          <w:highlight w:val="cyan"/>
          <w:lang w:val="en-GB"/>
        </w:rPr>
        <w:t>ompetitiveness</w:t>
      </w:r>
      <w:r w:rsidR="00EB7B41" w:rsidRPr="00322FE8">
        <w:rPr>
          <w:highlight w:val="cyan"/>
          <w:lang w:val="en-GB"/>
        </w:rPr>
        <w:t xml:space="preserve"> and fairness</w:t>
      </w:r>
      <w:r w:rsidR="001038CE" w:rsidRPr="00322FE8">
        <w:rPr>
          <w:highlight w:val="cyan"/>
          <w:lang w:val="en-GB"/>
        </w:rPr>
        <w:t xml:space="preserve"> is suspect</w:t>
      </w:r>
      <w:r w:rsidR="00323438" w:rsidRPr="00322FE8">
        <w:rPr>
          <w:highlight w:val="cyan"/>
          <w:lang w:val="en-GB"/>
        </w:rPr>
        <w:t>: openness</w:t>
      </w:r>
      <w:r w:rsidR="005D23E4" w:rsidRPr="00322FE8">
        <w:rPr>
          <w:highlight w:val="cyan"/>
          <w:lang w:val="en-GB"/>
        </w:rPr>
        <w:t xml:space="preserve"> of the political system</w:t>
      </w:r>
      <w:r w:rsidR="00F052CD" w:rsidRPr="00322FE8">
        <w:rPr>
          <w:highlight w:val="cyan"/>
          <w:lang w:val="en-GB"/>
        </w:rPr>
        <w:t xml:space="preserve"> is limited</w:t>
      </w:r>
      <w:r w:rsidR="00EB7B41" w:rsidRPr="00322FE8">
        <w:rPr>
          <w:highlight w:val="cyan"/>
          <w:lang w:val="en-GB"/>
        </w:rPr>
        <w:t>.</w:t>
      </w:r>
      <w:r w:rsidR="005E2A9F" w:rsidRPr="00322FE8">
        <w:rPr>
          <w:highlight w:val="cyan"/>
          <w:lang w:val="en-GB"/>
        </w:rPr>
        <w:t xml:space="preserve"> </w:t>
      </w:r>
      <w:r w:rsidR="009F0ED2" w:rsidRPr="00322FE8">
        <w:rPr>
          <w:highlight w:val="cyan"/>
          <w:lang w:val="en-GB"/>
        </w:rPr>
        <w:t>A lack of accountability may mean the</w:t>
      </w:r>
      <w:r w:rsidR="00422E59" w:rsidRPr="00322FE8">
        <w:rPr>
          <w:highlight w:val="cyan"/>
          <w:lang w:val="en-GB"/>
        </w:rPr>
        <w:t xml:space="preserve"> ability of citizens to carry through on economic voting</w:t>
      </w:r>
      <w:r w:rsidR="00651563" w:rsidRPr="00322FE8">
        <w:rPr>
          <w:highlight w:val="cyan"/>
          <w:lang w:val="en-GB"/>
        </w:rPr>
        <w:t xml:space="preserve"> may be disrupted</w:t>
      </w:r>
      <w:r w:rsidR="00EC644E" w:rsidRPr="00322FE8">
        <w:rPr>
          <w:highlight w:val="cyan"/>
          <w:lang w:val="en-GB"/>
        </w:rPr>
        <w:t xml:space="preserve">, weakening </w:t>
      </w:r>
      <w:r w:rsidR="001C7F82" w:rsidRPr="00322FE8">
        <w:rPr>
          <w:highlight w:val="cyan"/>
          <w:lang w:val="en-GB"/>
        </w:rPr>
        <w:t xml:space="preserve">responses to </w:t>
      </w:r>
      <w:r w:rsidR="00643312" w:rsidRPr="00322FE8">
        <w:rPr>
          <w:highlight w:val="cyan"/>
          <w:lang w:val="en-GB"/>
        </w:rPr>
        <w:t xml:space="preserve">welfare effects of limiting </w:t>
      </w:r>
      <w:r w:rsidR="0027670C" w:rsidRPr="00322FE8">
        <w:rPr>
          <w:highlight w:val="cyan"/>
          <w:lang w:val="en-GB"/>
        </w:rPr>
        <w:t>institutions</w:t>
      </w:r>
      <w:r w:rsidR="009A63BA" w:rsidRPr="00322FE8">
        <w:rPr>
          <w:highlight w:val="cyan"/>
          <w:lang w:val="en-GB"/>
        </w:rPr>
        <w:t xml:space="preserve"> and </w:t>
      </w:r>
      <w:r w:rsidR="00512C5E" w:rsidRPr="00322FE8">
        <w:rPr>
          <w:highlight w:val="cyan"/>
          <w:lang w:val="en-GB"/>
        </w:rPr>
        <w:t xml:space="preserve">substituting </w:t>
      </w:r>
      <w:r w:rsidR="00424968" w:rsidRPr="00322FE8">
        <w:rPr>
          <w:highlight w:val="cyan"/>
          <w:lang w:val="en-GB"/>
        </w:rPr>
        <w:t>a</w:t>
      </w:r>
      <w:r w:rsidR="00C93CE0" w:rsidRPr="00322FE8">
        <w:rPr>
          <w:highlight w:val="cyan"/>
          <w:lang w:val="en-GB"/>
        </w:rPr>
        <w:t xml:space="preserve"> need for </w:t>
      </w:r>
      <w:r w:rsidR="00512C5E" w:rsidRPr="00322FE8">
        <w:rPr>
          <w:highlight w:val="cyan"/>
          <w:lang w:val="en-GB"/>
        </w:rPr>
        <w:t xml:space="preserve">political business cycle manipulation for </w:t>
      </w:r>
      <w:r w:rsidR="00E50E18" w:rsidRPr="00322FE8">
        <w:rPr>
          <w:highlight w:val="cyan"/>
          <w:lang w:val="en-GB"/>
        </w:rPr>
        <w:t>outright electoral manipulation.</w:t>
      </w:r>
      <w:r w:rsidR="005E2A9F" w:rsidRPr="00322FE8">
        <w:rPr>
          <w:highlight w:val="cyan"/>
          <w:lang w:val="en-GB"/>
        </w:rPr>
        <w:t xml:space="preserve"> </w:t>
      </w:r>
      <w:r w:rsidR="00904546" w:rsidRPr="00322FE8">
        <w:rPr>
          <w:highlight w:val="cyan"/>
          <w:lang w:val="en-GB"/>
        </w:rPr>
        <w:t xml:space="preserve">When there is a lack of </w:t>
      </w:r>
      <w:r w:rsidR="00971851" w:rsidRPr="00322FE8">
        <w:rPr>
          <w:highlight w:val="cyan"/>
          <w:lang w:val="en-GB"/>
        </w:rPr>
        <w:t>competitiveness</w:t>
      </w:r>
      <w:r w:rsidR="00904546" w:rsidRPr="00322FE8">
        <w:rPr>
          <w:highlight w:val="cyan"/>
          <w:lang w:val="en-GB"/>
        </w:rPr>
        <w:t xml:space="preserve">, </w:t>
      </w:r>
      <w:r w:rsidR="003D6BAD" w:rsidRPr="00322FE8">
        <w:rPr>
          <w:highlight w:val="cyan"/>
          <w:lang w:val="en-GB"/>
        </w:rPr>
        <w:t>limiting institutions are</w:t>
      </w:r>
      <w:r w:rsidR="001528B3" w:rsidRPr="00322FE8">
        <w:rPr>
          <w:highlight w:val="cyan"/>
          <w:lang w:val="en-GB"/>
        </w:rPr>
        <w:t xml:space="preserve"> unlikely to predict any</w:t>
      </w:r>
      <w:r w:rsidR="009B1F0F" w:rsidRPr="00322FE8">
        <w:rPr>
          <w:highlight w:val="cyan"/>
          <w:lang w:val="en-GB"/>
        </w:rPr>
        <w:t xml:space="preserve"> higher or lower electoral instability through any of the theories above.</w:t>
      </w:r>
    </w:p>
    <w:p w14:paraId="4F656160" w14:textId="2B833EC8" w:rsidR="009E6774" w:rsidRPr="00322FE8" w:rsidRDefault="003C2C45" w:rsidP="009D3396">
      <w:pPr>
        <w:rPr>
          <w:highlight w:val="cyan"/>
          <w:lang w:val="en-GB"/>
        </w:rPr>
      </w:pPr>
      <w:r w:rsidRPr="00322FE8">
        <w:rPr>
          <w:highlight w:val="cyan"/>
          <w:lang w:val="en-GB"/>
        </w:rPr>
        <w:t xml:space="preserve">Nevertheless, evidence suggests that even </w:t>
      </w:r>
      <w:r w:rsidR="00000C5C" w:rsidRPr="00322FE8">
        <w:rPr>
          <w:highlight w:val="cyan"/>
          <w:lang w:val="en-GB"/>
        </w:rPr>
        <w:t xml:space="preserve">if elections are not </w:t>
      </w:r>
      <w:r w:rsidR="00E61FC3" w:rsidRPr="00322FE8">
        <w:rPr>
          <w:highlight w:val="cyan"/>
          <w:lang w:val="en-GB"/>
        </w:rPr>
        <w:t>competitive</w:t>
      </w:r>
      <w:r w:rsidR="00000C5C" w:rsidRPr="00322FE8">
        <w:rPr>
          <w:highlight w:val="cyan"/>
          <w:lang w:val="en-GB"/>
        </w:rPr>
        <w:t xml:space="preserve">, </w:t>
      </w:r>
      <w:r w:rsidRPr="00322FE8">
        <w:rPr>
          <w:highlight w:val="cyan"/>
          <w:lang w:val="en-GB"/>
        </w:rPr>
        <w:t xml:space="preserve">autocrats </w:t>
      </w:r>
      <w:r w:rsidR="00000C5C" w:rsidRPr="00322FE8">
        <w:rPr>
          <w:highlight w:val="cyan"/>
          <w:lang w:val="en-GB"/>
        </w:rPr>
        <w:t>may still be</w:t>
      </w:r>
      <w:r w:rsidRPr="00322FE8">
        <w:rPr>
          <w:highlight w:val="cyan"/>
          <w:lang w:val="en-GB"/>
        </w:rPr>
        <w:t xml:space="preserve"> accountable to </w:t>
      </w:r>
      <w:r w:rsidR="00E361B0" w:rsidRPr="00322FE8">
        <w:rPr>
          <w:highlight w:val="cyan"/>
          <w:lang w:val="en-GB"/>
        </w:rPr>
        <w:t xml:space="preserve">at least </w:t>
      </w:r>
      <w:r w:rsidRPr="00322FE8">
        <w:rPr>
          <w:highlight w:val="cyan"/>
          <w:lang w:val="en-GB"/>
        </w:rPr>
        <w:t>elites</w:t>
      </w:r>
      <w:r w:rsidR="007D106F" w:rsidRPr="00322FE8">
        <w:rPr>
          <w:highlight w:val="cyan"/>
          <w:lang w:val="en-GB"/>
        </w:rPr>
        <w:t xml:space="preserve"> (Selectorate Theory)</w:t>
      </w:r>
      <w:r w:rsidRPr="00322FE8">
        <w:rPr>
          <w:highlight w:val="cyan"/>
          <w:lang w:val="en-GB"/>
        </w:rPr>
        <w:t xml:space="preserve">, and thus the forces of politics; no sovereign is truly absolute </w:t>
      </w:r>
      <w:r w:rsidRPr="00322FE8">
        <w:rPr>
          <w:highlight w:val="cyan"/>
          <w:lang w:val="en-GB"/>
        </w:rPr>
        <w:fldChar w:fldCharType="begin"/>
      </w:r>
      <w:r w:rsidRPr="00322FE8">
        <w:rPr>
          <w:highlight w:val="cyan"/>
          <w:lang w:val="en-GB"/>
        </w:rPr>
        <w:instrText xml:space="preserve"> ADDIN ZOTERO_ITEM CSL_CITATION {"citationID":"sfdnb00Z","properties":{"formattedCitation":"(Mesquita et al. 2005)","plainCitation":"(Mesquita et al. 2005)","noteIndex":0},"citationItems":[{"id":468,"uris":["http://zotero.org/users/5939705/items/XL7939FX"],"uri":["http://zotero.org/users/5939705/items/XL7939FX"],"itemData":{"id":468,"type":"book","abstract":"The authors of this ambitious book address a fundamental political question: why are leaders who produce peace and prosperity turned out of office while those who preside over corruption, war, and misery endure? Considering this political puzzle, they also answer the related economic question of why some countries experience successful economic development and others do not. The authors construct a provocative theory on the selection of leaders and present specific formal models from which their central claims can be deduced. They show how political leaders allocate resources and how institutions for selecting leaders create incentives for leaders to pursue good and bad public policy. They also extend the model to explain the consequences of war on political survival. Throughout the book, they provide illustrations from history, ranging from ancient Sparta to Vichy France, and test the model against statistics gathered from cross-national data. The authors explain the political intuition underlying their theory in nontechnical language, reserving formal proofs for chapter appendixes. They conclude by presenting policy prescriptions based on what has been demonstrated theoretically and empirically.","ISBN":"978-0-262-52440-7","language":"en","note":"Google-Books-ID: 1PlRlcgQdpMC","number-of-pages":"556","publisher":"MIT Press","source":"Google Books","title":"The Logic of Political Survival","author":[{"family":"Mesquita","given":"Bruce Bueno","dropping-particle":"de"},{"family":"Smith","given":"Alastair"},{"family":"Morrow","given":"James D."},{"family":"Siverson","given":"Randolph M."}],"issued":{"date-parts":[["2005"]]}}}],"schema":"https://github.com/citation-style-language/schema/raw/master/csl-citation.json"} </w:instrText>
      </w:r>
      <w:r w:rsidRPr="00322FE8">
        <w:rPr>
          <w:highlight w:val="cyan"/>
          <w:lang w:val="en-GB"/>
        </w:rPr>
        <w:fldChar w:fldCharType="separate"/>
      </w:r>
      <w:r w:rsidRPr="00322FE8">
        <w:rPr>
          <w:rFonts w:ascii="Calibri" w:hAnsi="Calibri" w:cs="Calibri"/>
          <w:highlight w:val="cyan"/>
        </w:rPr>
        <w:t>(Mesquita et al. 2005)</w:t>
      </w:r>
      <w:r w:rsidRPr="00322FE8">
        <w:rPr>
          <w:highlight w:val="cyan"/>
          <w:lang w:val="en-GB"/>
        </w:rPr>
        <w:fldChar w:fldCharType="end"/>
      </w:r>
      <w:r w:rsidRPr="00322FE8">
        <w:rPr>
          <w:highlight w:val="cyan"/>
          <w:lang w:val="en-GB"/>
        </w:rPr>
        <w:t>.</w:t>
      </w:r>
      <w:r w:rsidR="00AD3443" w:rsidRPr="00322FE8">
        <w:rPr>
          <w:rStyle w:val="FootnoteReference"/>
          <w:highlight w:val="cyan"/>
          <w:lang w:val="en-GB"/>
        </w:rPr>
        <w:footnoteReference w:id="8"/>
      </w:r>
      <w:r w:rsidR="004F5CFF" w:rsidRPr="00322FE8">
        <w:rPr>
          <w:highlight w:val="cyan"/>
          <w:lang w:val="en-GB"/>
        </w:rPr>
        <w:t xml:space="preserve"> </w:t>
      </w:r>
      <w:r w:rsidR="00A97AC6" w:rsidRPr="00322FE8">
        <w:rPr>
          <w:highlight w:val="cyan"/>
          <w:lang w:val="en-GB"/>
        </w:rPr>
        <w:t xml:space="preserve">There may also be </w:t>
      </w:r>
      <w:r w:rsidR="005754EC" w:rsidRPr="00322FE8">
        <w:rPr>
          <w:highlight w:val="cyan"/>
          <w:lang w:val="en-GB"/>
        </w:rPr>
        <w:t>the violent threat of popula</w:t>
      </w:r>
      <w:r w:rsidR="00204774" w:rsidRPr="00322FE8">
        <w:rPr>
          <w:highlight w:val="cyan"/>
          <w:lang w:val="en-GB"/>
        </w:rPr>
        <w:t>r</w:t>
      </w:r>
      <w:r w:rsidR="005754EC" w:rsidRPr="00322FE8">
        <w:rPr>
          <w:highlight w:val="cyan"/>
          <w:lang w:val="en-GB"/>
        </w:rPr>
        <w:t xml:space="preserve"> rebellion or revolution. </w:t>
      </w:r>
      <w:r w:rsidRPr="00322FE8">
        <w:rPr>
          <w:highlight w:val="cyan"/>
          <w:lang w:val="en-GB"/>
        </w:rPr>
        <w:t xml:space="preserve">A solution, </w:t>
      </w:r>
      <w:r w:rsidR="00DB78FF" w:rsidRPr="00322FE8">
        <w:rPr>
          <w:highlight w:val="cyan"/>
          <w:lang w:val="en-GB"/>
        </w:rPr>
        <w:t>therefore</w:t>
      </w:r>
      <w:r w:rsidRPr="00322FE8">
        <w:rPr>
          <w:highlight w:val="cyan"/>
          <w:lang w:val="en-GB"/>
        </w:rPr>
        <w:t>, which may be employed to arrive at a meaningful prediction</w:t>
      </w:r>
      <w:r w:rsidR="003978F5" w:rsidRPr="00322FE8">
        <w:rPr>
          <w:highlight w:val="cyan"/>
          <w:lang w:val="en-GB"/>
        </w:rPr>
        <w:t xml:space="preserve"> is the substitution of</w:t>
      </w:r>
      <w:r w:rsidR="009E6774" w:rsidRPr="00322FE8">
        <w:rPr>
          <w:highlight w:val="cyan"/>
          <w:lang w:val="en-GB"/>
        </w:rPr>
        <w:t xml:space="preserve"> </w:t>
      </w:r>
      <w:r w:rsidR="004F5CFF" w:rsidRPr="00322FE8">
        <w:rPr>
          <w:highlight w:val="cyan"/>
          <w:lang w:val="en-GB"/>
        </w:rPr>
        <w:t xml:space="preserve">political for </w:t>
      </w:r>
      <w:r w:rsidR="009E6774" w:rsidRPr="00322FE8">
        <w:rPr>
          <w:highlight w:val="cyan"/>
          <w:lang w:val="en-GB"/>
        </w:rPr>
        <w:t>electoral instability</w:t>
      </w:r>
      <w:r w:rsidR="00900870" w:rsidRPr="00322FE8">
        <w:rPr>
          <w:highlight w:val="cyan"/>
          <w:lang w:val="en-GB"/>
        </w:rPr>
        <w:t>, accounting for coups</w:t>
      </w:r>
      <w:r w:rsidR="00254CD7" w:rsidRPr="00322FE8">
        <w:rPr>
          <w:highlight w:val="cyan"/>
          <w:lang w:val="en-GB"/>
        </w:rPr>
        <w:t xml:space="preserve">, revolts, and revolutions </w:t>
      </w:r>
      <w:r w:rsidR="005F10C1" w:rsidRPr="00322FE8">
        <w:rPr>
          <w:highlight w:val="cyan"/>
          <w:lang w:val="en-GB"/>
        </w:rPr>
        <w:t xml:space="preserve">when there is little </w:t>
      </w:r>
      <w:r w:rsidR="00604D7B" w:rsidRPr="00322FE8">
        <w:rPr>
          <w:highlight w:val="cyan"/>
          <w:lang w:val="en-GB"/>
        </w:rPr>
        <w:t>competitiveness</w:t>
      </w:r>
      <w:r w:rsidR="004F5CFF" w:rsidRPr="00322FE8">
        <w:rPr>
          <w:highlight w:val="cyan"/>
          <w:lang w:val="en-GB"/>
        </w:rPr>
        <w:t>.</w:t>
      </w:r>
    </w:p>
    <w:p w14:paraId="03C8A194" w14:textId="029440BA" w:rsidR="004E63BB" w:rsidRDefault="00A42B77" w:rsidP="009D3396">
      <w:pPr>
        <w:rPr>
          <w:lang w:val="en-GB"/>
        </w:rPr>
      </w:pPr>
      <w:r w:rsidRPr="00322FE8">
        <w:rPr>
          <w:highlight w:val="cyan"/>
          <w:lang w:val="en-GB"/>
        </w:rPr>
        <w:t>With respect to the welfare</w:t>
      </w:r>
      <w:r w:rsidR="0093210B" w:rsidRPr="00322FE8">
        <w:rPr>
          <w:highlight w:val="cyan"/>
          <w:lang w:val="en-GB"/>
        </w:rPr>
        <w:t xml:space="preserve"> strand,</w:t>
      </w:r>
      <w:r w:rsidR="0075445D" w:rsidRPr="00322FE8">
        <w:rPr>
          <w:highlight w:val="cyan"/>
          <w:lang w:val="en-GB"/>
        </w:rPr>
        <w:t xml:space="preserve"> factors</w:t>
      </w:r>
      <w:r w:rsidR="0093210B" w:rsidRPr="00322FE8">
        <w:rPr>
          <w:highlight w:val="cyan"/>
          <w:lang w:val="en-GB"/>
        </w:rPr>
        <w:t xml:space="preserve"> such as inflation</w:t>
      </w:r>
      <w:r w:rsidR="0075445D" w:rsidRPr="00322FE8">
        <w:rPr>
          <w:highlight w:val="cyan"/>
          <w:lang w:val="en-GB"/>
        </w:rPr>
        <w:t xml:space="preserve"> </w:t>
      </w:r>
      <w:r w:rsidR="003D7D4B" w:rsidRPr="00322FE8">
        <w:rPr>
          <w:highlight w:val="cyan"/>
          <w:lang w:val="en-GB"/>
        </w:rPr>
        <w:t xml:space="preserve">which </w:t>
      </w:r>
      <w:r w:rsidR="00645479" w:rsidRPr="00322FE8">
        <w:rPr>
          <w:highlight w:val="cyan"/>
          <w:lang w:val="en-GB"/>
        </w:rPr>
        <w:t>could be improved</w:t>
      </w:r>
      <w:r w:rsidR="003D7D4B" w:rsidRPr="00322FE8">
        <w:rPr>
          <w:highlight w:val="cyan"/>
          <w:lang w:val="en-GB"/>
        </w:rPr>
        <w:t xml:space="preserve"> by limiting institutions </w:t>
      </w:r>
      <w:r w:rsidR="002E74F8" w:rsidRPr="00322FE8">
        <w:rPr>
          <w:highlight w:val="cyan"/>
          <w:lang w:val="en-GB"/>
        </w:rPr>
        <w:t xml:space="preserve">have long been considered </w:t>
      </w:r>
      <w:r w:rsidR="003C701A" w:rsidRPr="00322FE8">
        <w:rPr>
          <w:highlight w:val="cyan"/>
          <w:lang w:val="en-GB"/>
        </w:rPr>
        <w:t>drivers</w:t>
      </w:r>
      <w:r w:rsidR="00D907CE" w:rsidRPr="00322FE8">
        <w:rPr>
          <w:highlight w:val="cyan"/>
          <w:lang w:val="en-GB"/>
        </w:rPr>
        <w:t xml:space="preserve"> of political </w:t>
      </w:r>
      <w:r w:rsidR="00D71EBC" w:rsidRPr="00322FE8">
        <w:rPr>
          <w:highlight w:val="cyan"/>
          <w:lang w:val="en-GB"/>
        </w:rPr>
        <w:t>unrest</w:t>
      </w:r>
      <w:r w:rsidR="00C60297" w:rsidRPr="00322FE8">
        <w:rPr>
          <w:highlight w:val="cyan"/>
          <w:lang w:val="en-GB"/>
        </w:rPr>
        <w:t xml:space="preserve"> in nations such as Venezuela</w:t>
      </w:r>
      <w:r w:rsidR="00701476" w:rsidRPr="00322FE8">
        <w:rPr>
          <w:highlight w:val="cyan"/>
          <w:lang w:val="en-GB"/>
        </w:rPr>
        <w:t xml:space="preserve"> when electoral accountability has been limited</w:t>
      </w:r>
      <w:r w:rsidR="00C60297" w:rsidRPr="00322FE8">
        <w:rPr>
          <w:highlight w:val="cyan"/>
          <w:lang w:val="en-GB"/>
        </w:rPr>
        <w:t>.</w:t>
      </w:r>
      <w:r w:rsidR="00B27A09" w:rsidRPr="00322FE8">
        <w:rPr>
          <w:highlight w:val="cyan"/>
          <w:lang w:val="en-GB"/>
        </w:rPr>
        <w:t xml:space="preserve"> </w:t>
      </w:r>
      <w:r w:rsidR="00D44434" w:rsidRPr="00322FE8">
        <w:rPr>
          <w:highlight w:val="cyan"/>
          <w:lang w:val="en-GB"/>
        </w:rPr>
        <w:t>However, t</w:t>
      </w:r>
      <w:r w:rsidR="004E63BB" w:rsidRPr="00322FE8">
        <w:rPr>
          <w:highlight w:val="cyan"/>
          <w:lang w:val="en-GB"/>
        </w:rPr>
        <w:t>he importance of political business cycle manipulation</w:t>
      </w:r>
      <w:r w:rsidR="0024247A" w:rsidRPr="00322FE8">
        <w:rPr>
          <w:highlight w:val="cyan"/>
          <w:lang w:val="en-GB"/>
        </w:rPr>
        <w:t xml:space="preserve"> and the effect of constraint by limiting institutions</w:t>
      </w:r>
      <w:r w:rsidR="004E63BB" w:rsidRPr="00322FE8">
        <w:rPr>
          <w:highlight w:val="cyan"/>
          <w:lang w:val="en-GB"/>
        </w:rPr>
        <w:t xml:space="preserve"> is somewhat </w:t>
      </w:r>
      <w:r w:rsidR="00576B3B" w:rsidRPr="00322FE8">
        <w:rPr>
          <w:highlight w:val="cyan"/>
          <w:lang w:val="en-GB"/>
        </w:rPr>
        <w:t xml:space="preserve">more difficult to </w:t>
      </w:r>
      <w:r w:rsidR="0024247A" w:rsidRPr="00322FE8">
        <w:rPr>
          <w:highlight w:val="cyan"/>
          <w:lang w:val="en-GB"/>
        </w:rPr>
        <w:t xml:space="preserve">translate into political instability. </w:t>
      </w:r>
      <w:r w:rsidR="00331253" w:rsidRPr="00322FE8">
        <w:rPr>
          <w:highlight w:val="cyan"/>
          <w:lang w:val="en-GB"/>
        </w:rPr>
        <w:t>Manipulation in this case would not</w:t>
      </w:r>
      <w:r w:rsidR="005A58F8" w:rsidRPr="00322FE8">
        <w:rPr>
          <w:highlight w:val="cyan"/>
          <w:lang w:val="en-GB"/>
        </w:rPr>
        <w:t xml:space="preserve"> necessarily follow a clear electoral calendar, </w:t>
      </w:r>
      <w:r w:rsidR="005A58F8" w:rsidRPr="00322FE8">
        <w:rPr>
          <w:highlight w:val="cyan"/>
          <w:lang w:val="en-GB"/>
        </w:rPr>
        <w:lastRenderedPageBreak/>
        <w:t xml:space="preserve">but instead be responsive </w:t>
      </w:r>
      <w:r w:rsidR="00C10DDF" w:rsidRPr="00322FE8">
        <w:rPr>
          <w:highlight w:val="cyan"/>
          <w:lang w:val="en-GB"/>
        </w:rPr>
        <w:t xml:space="preserve">to </w:t>
      </w:r>
      <w:r w:rsidR="009A5860" w:rsidRPr="00322FE8">
        <w:rPr>
          <w:highlight w:val="cyan"/>
          <w:lang w:val="en-GB"/>
        </w:rPr>
        <w:t>ad hoc threats</w:t>
      </w:r>
      <w:r w:rsidR="00960FC7" w:rsidRPr="00322FE8">
        <w:rPr>
          <w:highlight w:val="cyan"/>
          <w:lang w:val="en-GB"/>
        </w:rPr>
        <w:t xml:space="preserve"> and incidents</w:t>
      </w:r>
      <w:r w:rsidR="009E67E1" w:rsidRPr="00322FE8">
        <w:rPr>
          <w:highlight w:val="cyan"/>
          <w:lang w:val="en-GB"/>
        </w:rPr>
        <w:t>.</w:t>
      </w:r>
      <w:r w:rsidR="008F7735" w:rsidRPr="00322FE8">
        <w:rPr>
          <w:highlight w:val="cyan"/>
          <w:lang w:val="en-GB"/>
        </w:rPr>
        <w:t xml:space="preserve"> </w:t>
      </w:r>
      <w:r w:rsidR="00EF0A0D" w:rsidRPr="00322FE8">
        <w:rPr>
          <w:highlight w:val="cyan"/>
          <w:lang w:val="en-GB"/>
        </w:rPr>
        <w:t>In these cases,</w:t>
      </w:r>
      <w:r w:rsidR="008F7735" w:rsidRPr="00322FE8">
        <w:rPr>
          <w:highlight w:val="cyan"/>
          <w:lang w:val="en-GB"/>
        </w:rPr>
        <w:t xml:space="preserve"> an autocrat may </w:t>
      </w:r>
      <w:r w:rsidR="00633813" w:rsidRPr="00322FE8">
        <w:rPr>
          <w:highlight w:val="cyan"/>
          <w:lang w:val="en-GB"/>
        </w:rPr>
        <w:t>desire</w:t>
      </w:r>
      <w:r w:rsidR="008F7735" w:rsidRPr="00322FE8">
        <w:rPr>
          <w:highlight w:val="cyan"/>
          <w:lang w:val="en-GB"/>
        </w:rPr>
        <w:t xml:space="preserve"> to relax some facet of policy </w:t>
      </w:r>
      <w:r w:rsidR="00F42C2A" w:rsidRPr="00322FE8">
        <w:rPr>
          <w:highlight w:val="cyan"/>
          <w:lang w:val="en-GB"/>
        </w:rPr>
        <w:t>to placate the unhappy</w:t>
      </w:r>
      <w:r w:rsidR="00633813" w:rsidRPr="00322FE8">
        <w:rPr>
          <w:highlight w:val="cyan"/>
          <w:lang w:val="en-GB"/>
        </w:rPr>
        <w:t xml:space="preserve"> </w:t>
      </w:r>
      <w:r w:rsidR="00B27A09" w:rsidRPr="00322FE8">
        <w:rPr>
          <w:highlight w:val="cyan"/>
          <w:lang w:val="en-GB"/>
        </w:rPr>
        <w:t>but</w:t>
      </w:r>
      <w:r w:rsidR="00633813" w:rsidRPr="00322FE8">
        <w:rPr>
          <w:highlight w:val="cyan"/>
          <w:lang w:val="en-GB"/>
        </w:rPr>
        <w:t xml:space="preserve"> </w:t>
      </w:r>
      <w:r w:rsidR="00B27A09" w:rsidRPr="00322FE8">
        <w:rPr>
          <w:highlight w:val="cyan"/>
          <w:lang w:val="en-GB"/>
        </w:rPr>
        <w:t>be</w:t>
      </w:r>
      <w:r w:rsidR="00B71BD3" w:rsidRPr="00322FE8">
        <w:rPr>
          <w:highlight w:val="cyan"/>
          <w:lang w:val="en-GB"/>
        </w:rPr>
        <w:t xml:space="preserve"> unsuccessful</w:t>
      </w:r>
      <w:r w:rsidR="00F42C2A" w:rsidRPr="00322FE8">
        <w:rPr>
          <w:highlight w:val="cyan"/>
          <w:lang w:val="en-GB"/>
        </w:rPr>
        <w:t>.</w:t>
      </w:r>
    </w:p>
    <w:p w14:paraId="0C83C75C" w14:textId="20DCEBD3" w:rsidR="000E3654" w:rsidRPr="00E06EDF" w:rsidRDefault="00BD2813" w:rsidP="00E06EDF">
      <w:pPr>
        <w:pStyle w:val="Heading2"/>
        <w:rPr>
          <w:highlight w:val="yellow"/>
          <w:lang w:val="en-GB"/>
        </w:rPr>
      </w:pPr>
      <w:r w:rsidRPr="00E06EDF">
        <w:rPr>
          <w:highlight w:val="yellow"/>
          <w:lang w:val="en-GB"/>
        </w:rPr>
        <w:t xml:space="preserve">(Optional) </w:t>
      </w:r>
      <w:r w:rsidR="000E3654" w:rsidRPr="00E06EDF">
        <w:rPr>
          <w:highlight w:val="yellow"/>
          <w:lang w:val="en-GB"/>
        </w:rPr>
        <w:t>Adjustments Under Capital Controls</w:t>
      </w:r>
    </w:p>
    <w:p w14:paraId="564FC26F" w14:textId="4A0953C6" w:rsidR="002A11F5" w:rsidRPr="00E06EDF" w:rsidRDefault="002A11F5" w:rsidP="002A11F5">
      <w:pPr>
        <w:rPr>
          <w:highlight w:val="yellow"/>
          <w:lang w:val="en-GB"/>
        </w:rPr>
      </w:pPr>
      <w:r w:rsidRPr="00E06EDF">
        <w:rPr>
          <w:highlight w:val="yellow"/>
          <w:lang w:val="en-GB"/>
        </w:rPr>
        <w:t>This section would not be long</w:t>
      </w:r>
      <w:r w:rsidR="007018B4" w:rsidRPr="00E06EDF">
        <w:rPr>
          <w:highlight w:val="yellow"/>
          <w:lang w:val="en-GB"/>
        </w:rPr>
        <w:t>, but perhaps it should be left as a direction for future exploration</w:t>
      </w:r>
      <w:r w:rsidR="001206F3" w:rsidRPr="00E06EDF">
        <w:rPr>
          <w:highlight w:val="yellow"/>
          <w:lang w:val="en-GB"/>
        </w:rPr>
        <w:t>.</w:t>
      </w:r>
    </w:p>
    <w:p w14:paraId="62DFB72F" w14:textId="5A8595BF" w:rsidR="00FE2594" w:rsidRPr="00E06EDF" w:rsidRDefault="00FE2594" w:rsidP="002A11F5">
      <w:pPr>
        <w:rPr>
          <w:highlight w:val="yellow"/>
          <w:lang w:val="en-GB"/>
        </w:rPr>
      </w:pPr>
      <w:r w:rsidRPr="00E06EDF">
        <w:rPr>
          <w:highlight w:val="yellow"/>
          <w:lang w:val="en-GB"/>
        </w:rPr>
        <w:t>Capital controls, at least for the period studied, do not appear to be common.</w:t>
      </w:r>
    </w:p>
    <w:p w14:paraId="78F4EC0B" w14:textId="76CFC5E4" w:rsidR="00FE2594" w:rsidRPr="00E06EDF" w:rsidRDefault="00FE2594" w:rsidP="002A11F5">
      <w:pPr>
        <w:rPr>
          <w:highlight w:val="yellow"/>
          <w:lang w:val="en-GB"/>
        </w:rPr>
      </w:pPr>
      <w:r w:rsidRPr="00E06EDF">
        <w:rPr>
          <w:highlight w:val="yellow"/>
          <w:lang w:val="en-GB"/>
        </w:rPr>
        <w:t>Theoretical Implications</w:t>
      </w:r>
    </w:p>
    <w:p w14:paraId="6F1911BE" w14:textId="72BDC21A" w:rsidR="00F55636" w:rsidRPr="002A11F5" w:rsidRDefault="001206F3" w:rsidP="002A11F5">
      <w:pPr>
        <w:rPr>
          <w:lang w:val="en-GB"/>
        </w:rPr>
      </w:pPr>
      <w:r w:rsidRPr="00E06EDF">
        <w:rPr>
          <w:highlight w:val="yellow"/>
          <w:lang w:val="en-GB"/>
        </w:rPr>
        <w:t xml:space="preserve">Fixed exchange rates </w:t>
      </w:r>
      <w:r w:rsidR="00E821AE" w:rsidRPr="00E06EDF">
        <w:rPr>
          <w:highlight w:val="yellow"/>
          <w:lang w:val="en-GB"/>
        </w:rPr>
        <w:t>no longer serve as a commitment device</w:t>
      </w:r>
      <w:r w:rsidR="003C14C4" w:rsidRPr="00E06EDF">
        <w:rPr>
          <w:highlight w:val="yellow"/>
          <w:lang w:val="en-GB"/>
        </w:rPr>
        <w:t xml:space="preserve"> for time </w:t>
      </w:r>
      <w:proofErr w:type="gramStart"/>
      <w:r w:rsidR="003C14C4" w:rsidRPr="00E06EDF">
        <w:rPr>
          <w:highlight w:val="yellow"/>
          <w:lang w:val="en-GB"/>
        </w:rPr>
        <w:t>inconsistency</w:t>
      </w:r>
      <w:proofErr w:type="gramEnd"/>
      <w:r w:rsidR="007448FC" w:rsidRPr="00E06EDF">
        <w:rPr>
          <w:highlight w:val="yellow"/>
          <w:lang w:val="en-GB"/>
        </w:rPr>
        <w:t xml:space="preserve"> but monetary policy may now be flexible,</w:t>
      </w:r>
      <w:r w:rsidR="007A2C31" w:rsidRPr="00E06EDF">
        <w:rPr>
          <w:highlight w:val="yellow"/>
          <w:lang w:val="en-GB"/>
        </w:rPr>
        <w:t xml:space="preserve"> </w:t>
      </w:r>
      <w:r w:rsidR="000005C4" w:rsidRPr="00E06EDF">
        <w:rPr>
          <w:highlight w:val="yellow"/>
          <w:lang w:val="en-GB"/>
        </w:rPr>
        <w:t>and currency crises averted</w:t>
      </w:r>
      <w:r w:rsidR="00F93869" w:rsidRPr="00E06EDF">
        <w:rPr>
          <w:highlight w:val="yellow"/>
          <w:lang w:val="en-GB"/>
        </w:rPr>
        <w:t>.</w:t>
      </w:r>
      <w:r w:rsidR="000005C4" w:rsidRPr="00E06EDF">
        <w:rPr>
          <w:highlight w:val="yellow"/>
          <w:lang w:val="en-GB"/>
        </w:rPr>
        <w:t xml:space="preserve"> </w:t>
      </w:r>
      <w:r w:rsidR="000178E0" w:rsidRPr="00E06EDF">
        <w:rPr>
          <w:highlight w:val="yellow"/>
          <w:lang w:val="en-GB"/>
        </w:rPr>
        <w:t xml:space="preserve">Net welfare effects unclear. </w:t>
      </w:r>
      <w:r w:rsidR="00F93869" w:rsidRPr="00E06EDF">
        <w:rPr>
          <w:highlight w:val="yellow"/>
          <w:lang w:val="en-GB"/>
        </w:rPr>
        <w:t>Central Bank Independence may be the fallback device.</w:t>
      </w:r>
      <w:r w:rsidR="00231754" w:rsidRPr="00E06EDF">
        <w:rPr>
          <w:highlight w:val="yellow"/>
          <w:lang w:val="en-GB"/>
        </w:rPr>
        <w:t xml:space="preserve"> Without an independent central bank, possible political business cycles for monetary policy could emerge again</w:t>
      </w:r>
      <w:r w:rsidR="003C2725" w:rsidRPr="00E06EDF">
        <w:rPr>
          <w:highlight w:val="yellow"/>
          <w:lang w:val="en-GB"/>
        </w:rPr>
        <w:t>, although fiscal manipulation could</w:t>
      </w:r>
      <w:r w:rsidR="00221430" w:rsidRPr="00E06EDF">
        <w:rPr>
          <w:highlight w:val="yellow"/>
          <w:lang w:val="en-GB"/>
        </w:rPr>
        <w:t xml:space="preserve"> be</w:t>
      </w:r>
      <w:r w:rsidR="00812D61" w:rsidRPr="00E06EDF">
        <w:rPr>
          <w:highlight w:val="yellow"/>
          <w:lang w:val="en-GB"/>
        </w:rPr>
        <w:t xml:space="preserve"> lower if foreign capital is harder to access with the controls.</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7EC24845" w:rsidR="00AE625A" w:rsidRDefault="00EB0A44" w:rsidP="007C55C0">
      <w:pPr>
        <w:rPr>
          <w:i/>
          <w:iCs/>
        </w:rPr>
      </w:pPr>
      <w:r>
        <w:rPr>
          <w:i/>
          <w:iCs/>
        </w:rPr>
        <w:t>Effects of Limiting Institutions on Instability in Open Economies without Capital Controls</w:t>
      </w:r>
    </w:p>
    <w:p w14:paraId="686D4600" w14:textId="77B41B0B" w:rsidR="007C55C0" w:rsidRDefault="007C55C0" w:rsidP="007C55C0">
      <w:pPr>
        <w:rPr>
          <w:i/>
          <w:iCs/>
        </w:rPr>
      </w:pPr>
      <w:r>
        <w:rPr>
          <w:i/>
          <w:iCs/>
        </w:rPr>
        <w:t>Democracy:</w:t>
      </w:r>
    </w:p>
    <w:p w14:paraId="42841D81" w14:textId="04321E74" w:rsidR="00774660" w:rsidRDefault="00774660" w:rsidP="007C55C0">
      <w:pPr>
        <w:rPr>
          <w:i/>
          <w:iCs/>
        </w:rPr>
      </w:pPr>
      <w:r>
        <w:rPr>
          <w:i/>
          <w:iCs/>
        </w:rPr>
        <w:t xml:space="preserve">High Executive Constraints and </w:t>
      </w:r>
      <w:r w:rsidR="00971851">
        <w:rPr>
          <w:i/>
          <w:iCs/>
        </w:rPr>
        <w:t>Competitiveness</w:t>
      </w:r>
    </w:p>
    <w:p w14:paraId="43234EF5" w14:textId="6F53A38D" w:rsidR="007C55C0" w:rsidRDefault="007C55C0" w:rsidP="007C55C0">
      <w:pPr>
        <w:rPr>
          <w:i/>
          <w:iCs/>
        </w:rPr>
      </w:pPr>
      <w:r>
        <w:rPr>
          <w:i/>
          <w:iCs/>
        </w:rPr>
        <w:t>Welfar</w:t>
      </w:r>
      <w:r w:rsidR="00A65F2D">
        <w:rPr>
          <w:i/>
          <w:iCs/>
        </w:rPr>
        <w:t>e</w:t>
      </w:r>
    </w:p>
    <w:p w14:paraId="743AEF3D" w14:textId="35277E9D" w:rsidR="009E6174" w:rsidRDefault="00007043" w:rsidP="007C55C0">
      <w:pPr>
        <w:rPr>
          <w:i/>
          <w:iCs/>
        </w:rPr>
      </w:pPr>
      <w:r>
        <w:rPr>
          <w:i/>
          <w:iCs/>
        </w:rPr>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7C55C0">
        <w:rPr>
          <w:i/>
          <w:iCs/>
        </w:rPr>
        <w:t xml:space="preserve">--&gt; (Economic Voting Theory) </w:t>
      </w:r>
      <w:r w:rsidR="00256FF2">
        <w:rPr>
          <w:i/>
          <w:iCs/>
        </w:rPr>
        <w:t xml:space="preserve">Net </w:t>
      </w:r>
      <w:r w:rsidR="00745AE5">
        <w:rPr>
          <w:i/>
          <w:iCs/>
        </w:rPr>
        <w:t>L</w:t>
      </w:r>
      <w:r w:rsidR="007C55C0">
        <w:rPr>
          <w:i/>
          <w:iCs/>
        </w:rPr>
        <w:t xml:space="preserve">ess </w:t>
      </w:r>
      <w:r w:rsidR="00526F0F">
        <w:rPr>
          <w:i/>
          <w:iCs/>
        </w:rPr>
        <w:t>E</w:t>
      </w:r>
      <w:r w:rsidR="00745AE5">
        <w:rPr>
          <w:i/>
          <w:iCs/>
        </w:rPr>
        <w:t>l</w:t>
      </w:r>
      <w:r w:rsidR="007C55C0">
        <w:rPr>
          <w:i/>
          <w:iCs/>
        </w:rPr>
        <w:t xml:space="preserve">ectoral </w:t>
      </w:r>
      <w:r w:rsidR="00526F0F">
        <w:rPr>
          <w:i/>
          <w:iCs/>
        </w:rPr>
        <w:t>T</w:t>
      </w:r>
      <w:r w:rsidR="007C55C0">
        <w:rPr>
          <w:i/>
          <w:iCs/>
        </w:rPr>
        <w:t>urnover/</w:t>
      </w:r>
      <w:r w:rsidR="00724932">
        <w:rPr>
          <w:i/>
          <w:iCs/>
        </w:rPr>
        <w:t>I</w:t>
      </w:r>
      <w:r w:rsidR="007C55C0">
        <w:rPr>
          <w:i/>
          <w:iCs/>
        </w:rPr>
        <w:t>nstability</w:t>
      </w:r>
    </w:p>
    <w:p w14:paraId="511BFB4B" w14:textId="77777777" w:rsidR="007C55C0" w:rsidRDefault="007C55C0" w:rsidP="007C55C0">
      <w:pPr>
        <w:rPr>
          <w:i/>
          <w:iCs/>
        </w:rPr>
      </w:pPr>
      <w:r>
        <w:rPr>
          <w:i/>
          <w:iCs/>
        </w:rPr>
        <w:t>PBC</w:t>
      </w:r>
    </w:p>
    <w:p w14:paraId="39845E10" w14:textId="12BDC8DC" w:rsidR="007C55C0" w:rsidRPr="00484A01" w:rsidRDefault="00007043" w:rsidP="007C55C0">
      <w:pPr>
        <w:rPr>
          <w:i/>
          <w:iCs/>
        </w:rPr>
      </w:pPr>
      <w:r>
        <w:rPr>
          <w:i/>
          <w:iCs/>
        </w:rPr>
        <w:t xml:space="preserve">De Jure </w:t>
      </w:r>
      <w:r w:rsidR="007C55C0" w:rsidRPr="00F743FA">
        <w:rPr>
          <w:i/>
          <w:iCs/>
        </w:rPr>
        <w:t xml:space="preserve">Independent CB/Fixed Exchange Rate </w:t>
      </w:r>
      <w:r w:rsidR="007C55C0">
        <w:rPr>
          <w:i/>
          <w:iCs/>
        </w:rPr>
        <w:t>–&gt;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-&gt;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Electoral Turnover/Instability</w:t>
      </w:r>
    </w:p>
    <w:p w14:paraId="275AEAA8" w14:textId="2F14E0B0" w:rsidR="005A531B" w:rsidRDefault="005A531B" w:rsidP="007C55C0">
      <w:pPr>
        <w:rPr>
          <w:i/>
          <w:iCs/>
          <w:highlight w:val="cyan"/>
        </w:rPr>
      </w:pPr>
      <w:r>
        <w:rPr>
          <w:i/>
          <w:iCs/>
          <w:highlight w:val="cyan"/>
        </w:rPr>
        <w:t>May eliminate</w:t>
      </w:r>
      <w:r w:rsidR="00DE03DC">
        <w:rPr>
          <w:i/>
          <w:iCs/>
          <w:highlight w:val="cyan"/>
        </w:rPr>
        <w:t xml:space="preserve"> analysis</w:t>
      </w:r>
      <w:r>
        <w:rPr>
          <w:i/>
          <w:iCs/>
          <w:highlight w:val="cyan"/>
        </w:rPr>
        <w:t xml:space="preserve"> due to small sample size</w:t>
      </w:r>
      <w:r w:rsidR="00DE03DC">
        <w:rPr>
          <w:i/>
          <w:iCs/>
          <w:highlight w:val="cyan"/>
        </w:rPr>
        <w:t>/insignificance.</w:t>
      </w:r>
    </w:p>
    <w:p w14:paraId="26196248" w14:textId="73D75814" w:rsidR="007C55C0" w:rsidRPr="00322FE8" w:rsidRDefault="007C55C0" w:rsidP="007C55C0">
      <w:pPr>
        <w:rPr>
          <w:i/>
          <w:iCs/>
          <w:highlight w:val="cyan"/>
        </w:rPr>
      </w:pPr>
      <w:r w:rsidRPr="00322FE8">
        <w:rPr>
          <w:i/>
          <w:iCs/>
          <w:highlight w:val="cyan"/>
        </w:rPr>
        <w:t>Autocracy:</w:t>
      </w:r>
    </w:p>
    <w:p w14:paraId="17AC4BFC" w14:textId="39D0A324" w:rsidR="005D6CE4" w:rsidRPr="00322FE8" w:rsidRDefault="002605F4" w:rsidP="007C55C0">
      <w:pPr>
        <w:rPr>
          <w:i/>
          <w:iCs/>
          <w:highlight w:val="cyan"/>
        </w:rPr>
      </w:pPr>
      <w:r w:rsidRPr="00322FE8">
        <w:rPr>
          <w:i/>
          <w:iCs/>
          <w:highlight w:val="cyan"/>
        </w:rPr>
        <w:t>Low Executive Constraints</w:t>
      </w:r>
      <w:r w:rsidR="0009699E" w:rsidRPr="00322FE8">
        <w:rPr>
          <w:i/>
          <w:iCs/>
          <w:highlight w:val="cyan"/>
        </w:rPr>
        <w:t xml:space="preserve">, High </w:t>
      </w:r>
      <w:r w:rsidR="00971851" w:rsidRPr="00322FE8">
        <w:rPr>
          <w:i/>
          <w:iCs/>
          <w:highlight w:val="cyan"/>
        </w:rPr>
        <w:t>Competitiveness</w:t>
      </w:r>
    </w:p>
    <w:p w14:paraId="4538153D" w14:textId="77777777" w:rsidR="00E70ABE" w:rsidRPr="00322FE8" w:rsidRDefault="00E70ABE" w:rsidP="00E70ABE">
      <w:pPr>
        <w:rPr>
          <w:i/>
          <w:iCs/>
          <w:highlight w:val="cyan"/>
        </w:rPr>
      </w:pPr>
      <w:r w:rsidRPr="00322FE8">
        <w:rPr>
          <w:i/>
          <w:iCs/>
          <w:highlight w:val="cyan"/>
        </w:rPr>
        <w:t>Welfare</w:t>
      </w:r>
    </w:p>
    <w:p w14:paraId="13938C58" w14:textId="60F031ED" w:rsidR="00E70ABE" w:rsidRPr="00322FE8" w:rsidRDefault="00F66602" w:rsidP="00E70ABE">
      <w:pPr>
        <w:rPr>
          <w:i/>
          <w:iCs/>
          <w:highlight w:val="cyan"/>
        </w:rPr>
      </w:pPr>
      <w:r w:rsidRPr="00322FE8">
        <w:rPr>
          <w:i/>
          <w:iCs/>
          <w:highlight w:val="cyan"/>
        </w:rPr>
        <w:t xml:space="preserve">De Facto </w:t>
      </w:r>
      <w:r w:rsidR="00E70ABE" w:rsidRPr="00322FE8">
        <w:rPr>
          <w:i/>
          <w:iCs/>
          <w:highlight w:val="cyan"/>
        </w:rPr>
        <w:t xml:space="preserve">Independent CB/Fixed Exchange Rate </w:t>
      </w:r>
      <w:r w:rsidR="00E70ABE" w:rsidRPr="00322FE8">
        <w:rPr>
          <w:i/>
          <w:iCs/>
          <w:highlight w:val="cyan"/>
        </w:rPr>
        <w:sym w:font="Wingdings" w:char="F0E0"/>
      </w:r>
      <w:r w:rsidR="00E70ABE" w:rsidRPr="00322FE8">
        <w:rPr>
          <w:i/>
          <w:iCs/>
          <w:highlight w:val="cyan"/>
        </w:rPr>
        <w:t xml:space="preserve">  (Welfare) Net Social Benefits from Commitment Despite Potential Cost to Flexibility --&gt; (Economic Voting Theory) Net Less Electoral Turnover/Instability</w:t>
      </w:r>
    </w:p>
    <w:p w14:paraId="1E7BD4E0" w14:textId="77777777" w:rsidR="00E70ABE" w:rsidRPr="00322FE8" w:rsidRDefault="00E70ABE" w:rsidP="00E70ABE">
      <w:pPr>
        <w:rPr>
          <w:i/>
          <w:iCs/>
          <w:highlight w:val="cyan"/>
        </w:rPr>
      </w:pPr>
      <w:r w:rsidRPr="00322FE8">
        <w:rPr>
          <w:i/>
          <w:iCs/>
          <w:highlight w:val="cyan"/>
        </w:rPr>
        <w:lastRenderedPageBreak/>
        <w:t>PBC</w:t>
      </w:r>
    </w:p>
    <w:p w14:paraId="0FA2651A" w14:textId="31671049" w:rsidR="00E70ABE" w:rsidRPr="00322FE8" w:rsidRDefault="00B168D4" w:rsidP="00E70ABE">
      <w:pPr>
        <w:rPr>
          <w:i/>
          <w:iCs/>
          <w:highlight w:val="cyan"/>
        </w:rPr>
      </w:pPr>
      <w:r w:rsidRPr="00322FE8">
        <w:rPr>
          <w:i/>
          <w:iCs/>
          <w:highlight w:val="cyan"/>
        </w:rPr>
        <w:t xml:space="preserve">De Facto </w:t>
      </w:r>
      <w:r w:rsidR="00E70ABE" w:rsidRPr="00322FE8">
        <w:rPr>
          <w:i/>
          <w:iCs/>
          <w:highlight w:val="cyan"/>
        </w:rPr>
        <w:t>Independent CB/Fixed Exchange Rate –&gt; (PBC Theory) Net Less PBC Manipulation -&gt; (Economic Voting Theory) Net More Electoral Turnover/Instability</w:t>
      </w:r>
    </w:p>
    <w:p w14:paraId="3D9D4602" w14:textId="045F71A5" w:rsidR="00DF3C8B" w:rsidRPr="00322FE8" w:rsidRDefault="002B0C0F" w:rsidP="0095563F">
      <w:pPr>
        <w:rPr>
          <w:i/>
          <w:iCs/>
          <w:highlight w:val="cyan"/>
        </w:rPr>
      </w:pPr>
      <w:r w:rsidRPr="00322FE8">
        <w:rPr>
          <w:i/>
          <w:iCs/>
          <w:highlight w:val="cyan"/>
        </w:rPr>
        <w:t xml:space="preserve">High Executive Constraints, </w:t>
      </w:r>
      <w:r w:rsidR="00630324" w:rsidRPr="00322FE8">
        <w:rPr>
          <w:i/>
          <w:iCs/>
          <w:highlight w:val="cyan"/>
        </w:rPr>
        <w:t xml:space="preserve">Low </w:t>
      </w:r>
      <w:r w:rsidR="00971851" w:rsidRPr="00322FE8">
        <w:rPr>
          <w:i/>
          <w:iCs/>
          <w:highlight w:val="cyan"/>
        </w:rPr>
        <w:t>Competitiveness</w:t>
      </w:r>
    </w:p>
    <w:p w14:paraId="7362E4AB" w14:textId="1F1B365B" w:rsidR="00B26843" w:rsidRPr="00322FE8" w:rsidRDefault="00B26843" w:rsidP="0095563F">
      <w:pPr>
        <w:rPr>
          <w:i/>
          <w:iCs/>
          <w:highlight w:val="cyan"/>
        </w:rPr>
      </w:pPr>
      <w:r w:rsidRPr="00322FE8">
        <w:rPr>
          <w:i/>
          <w:iCs/>
          <w:highlight w:val="cyan"/>
        </w:rPr>
        <w:t>Welfare</w:t>
      </w:r>
    </w:p>
    <w:p w14:paraId="7200F9DA" w14:textId="0B0A3428" w:rsidR="003811D4" w:rsidRPr="00322FE8" w:rsidRDefault="003811D4" w:rsidP="0095563F">
      <w:pPr>
        <w:rPr>
          <w:i/>
          <w:iCs/>
          <w:highlight w:val="cyan"/>
        </w:rPr>
      </w:pPr>
      <w:r w:rsidRPr="00322FE8">
        <w:rPr>
          <w:i/>
          <w:iCs/>
          <w:highlight w:val="cyan"/>
        </w:rPr>
        <w:t xml:space="preserve">De Jure Independent CB/Fixed Exchange Rate </w:t>
      </w:r>
      <w:r w:rsidRPr="00322FE8">
        <w:rPr>
          <w:i/>
          <w:iCs/>
          <w:highlight w:val="cyan"/>
        </w:rPr>
        <w:sym w:font="Wingdings" w:char="F0E0"/>
      </w:r>
      <w:r w:rsidRPr="00322FE8">
        <w:rPr>
          <w:i/>
          <w:iCs/>
          <w:highlight w:val="cyan"/>
        </w:rPr>
        <w:t xml:space="preserve">  (Welfare) Net Social Benefits from Commitment Despite Potential Cost to Flexibility --&gt; (</w:t>
      </w:r>
      <w:r w:rsidR="00181CC8" w:rsidRPr="00322FE8">
        <w:rPr>
          <w:i/>
          <w:iCs/>
          <w:highlight w:val="cyan"/>
        </w:rPr>
        <w:t>Selectorate Theory or Popular Unrest</w:t>
      </w:r>
      <w:r w:rsidRPr="00322FE8">
        <w:rPr>
          <w:i/>
          <w:iCs/>
          <w:highlight w:val="cyan"/>
        </w:rPr>
        <w:t xml:space="preserve">) Net Less </w:t>
      </w:r>
      <w:r w:rsidR="00181CC8" w:rsidRPr="00322FE8">
        <w:rPr>
          <w:i/>
          <w:iCs/>
          <w:highlight w:val="cyan"/>
        </w:rPr>
        <w:t>Political Instability</w:t>
      </w:r>
    </w:p>
    <w:p w14:paraId="695C20B6" w14:textId="20D7018B" w:rsidR="002B0C0F" w:rsidRPr="00322FE8" w:rsidRDefault="002B0C0F" w:rsidP="0095563F">
      <w:pPr>
        <w:rPr>
          <w:i/>
          <w:iCs/>
          <w:highlight w:val="cyan"/>
        </w:rPr>
      </w:pPr>
      <w:r w:rsidRPr="00322FE8">
        <w:rPr>
          <w:i/>
          <w:iCs/>
          <w:highlight w:val="cyan"/>
        </w:rPr>
        <w:t>PBC</w:t>
      </w:r>
    </w:p>
    <w:p w14:paraId="55384EF2" w14:textId="0A0EEBA5" w:rsidR="00694EC9" w:rsidRPr="00322FE8" w:rsidRDefault="00FF7794" w:rsidP="0095563F">
      <w:pPr>
        <w:rPr>
          <w:i/>
          <w:iCs/>
          <w:highlight w:val="cyan"/>
        </w:rPr>
      </w:pPr>
      <w:r w:rsidRPr="00322FE8">
        <w:rPr>
          <w:i/>
          <w:iCs/>
          <w:highlight w:val="cyan"/>
        </w:rPr>
        <w:t xml:space="preserve">De Jure Independent CB/Fixed Exchange Rate </w:t>
      </w:r>
      <w:r w:rsidR="004C266B" w:rsidRPr="00322FE8">
        <w:rPr>
          <w:i/>
          <w:iCs/>
          <w:highlight w:val="cyan"/>
        </w:rPr>
        <w:t xml:space="preserve">-&gt; </w:t>
      </w:r>
      <w:r w:rsidR="000B4588" w:rsidRPr="00322FE8">
        <w:rPr>
          <w:i/>
          <w:iCs/>
          <w:highlight w:val="cyan"/>
        </w:rPr>
        <w:t>Net Less Manipulation</w:t>
      </w:r>
      <w:r w:rsidR="00694EC9" w:rsidRPr="00322FE8">
        <w:rPr>
          <w:i/>
          <w:iCs/>
          <w:highlight w:val="cyan"/>
        </w:rPr>
        <w:t xml:space="preserve"> -&gt;</w:t>
      </w:r>
      <w:r w:rsidR="005C2E4C" w:rsidRPr="00322FE8">
        <w:rPr>
          <w:i/>
          <w:iCs/>
          <w:highlight w:val="cyan"/>
        </w:rPr>
        <w:t xml:space="preserve"> (</w:t>
      </w:r>
      <w:r w:rsidR="0064003A" w:rsidRPr="00322FE8">
        <w:rPr>
          <w:i/>
          <w:iCs/>
          <w:highlight w:val="cyan"/>
        </w:rPr>
        <w:t>Selectorate</w:t>
      </w:r>
      <w:r w:rsidR="005C2E4C" w:rsidRPr="00322FE8">
        <w:rPr>
          <w:i/>
          <w:iCs/>
          <w:highlight w:val="cyan"/>
        </w:rPr>
        <w:t xml:space="preserve"> Theor</w:t>
      </w:r>
      <w:r w:rsidR="002B0C0F" w:rsidRPr="00322FE8">
        <w:rPr>
          <w:i/>
          <w:iCs/>
          <w:highlight w:val="cyan"/>
        </w:rPr>
        <w:t>y or Popular Unrest</w:t>
      </w:r>
      <w:r w:rsidR="005C2E4C" w:rsidRPr="00322FE8">
        <w:rPr>
          <w:i/>
          <w:iCs/>
          <w:highlight w:val="cyan"/>
        </w:rPr>
        <w:t>)</w:t>
      </w:r>
      <w:r w:rsidR="00AE1C48" w:rsidRPr="00322FE8">
        <w:rPr>
          <w:i/>
          <w:iCs/>
          <w:highlight w:val="cyan"/>
        </w:rPr>
        <w:t xml:space="preserve"> </w:t>
      </w:r>
      <w:r w:rsidR="00364DE0" w:rsidRPr="00322FE8">
        <w:rPr>
          <w:i/>
          <w:iCs/>
          <w:highlight w:val="cyan"/>
        </w:rPr>
        <w:t>Net More Political Instability</w:t>
      </w:r>
    </w:p>
    <w:p w14:paraId="7972D495" w14:textId="5EB247E4" w:rsidR="00EB0A44" w:rsidRPr="00322FE8" w:rsidRDefault="00A07A76" w:rsidP="0095563F">
      <w:pPr>
        <w:rPr>
          <w:i/>
          <w:iCs/>
          <w:highlight w:val="cyan"/>
        </w:rPr>
      </w:pPr>
      <w:r w:rsidRPr="00322FE8">
        <w:rPr>
          <w:i/>
          <w:iCs/>
          <w:highlight w:val="cyan"/>
        </w:rPr>
        <w:t xml:space="preserve">Low Executive Constraints and </w:t>
      </w:r>
      <w:r w:rsidR="00971851" w:rsidRPr="00322FE8">
        <w:rPr>
          <w:i/>
          <w:iCs/>
          <w:highlight w:val="cyan"/>
        </w:rPr>
        <w:t>Competitiveness</w:t>
      </w:r>
    </w:p>
    <w:p w14:paraId="61FC4571" w14:textId="77777777" w:rsidR="00A07A76" w:rsidRPr="00322FE8" w:rsidRDefault="00A07A76" w:rsidP="00A07A76">
      <w:pPr>
        <w:rPr>
          <w:i/>
          <w:iCs/>
          <w:highlight w:val="cyan"/>
        </w:rPr>
      </w:pPr>
      <w:r w:rsidRPr="00322FE8">
        <w:rPr>
          <w:i/>
          <w:iCs/>
          <w:highlight w:val="cyan"/>
        </w:rPr>
        <w:t>Welfare</w:t>
      </w:r>
    </w:p>
    <w:p w14:paraId="2600F2B1" w14:textId="68CD4BE5" w:rsidR="00A07A76" w:rsidRPr="00322FE8" w:rsidRDefault="00A07A76" w:rsidP="00A07A76">
      <w:pPr>
        <w:rPr>
          <w:i/>
          <w:iCs/>
          <w:highlight w:val="cyan"/>
        </w:rPr>
      </w:pPr>
      <w:r w:rsidRPr="00322FE8">
        <w:rPr>
          <w:i/>
          <w:iCs/>
          <w:highlight w:val="cyan"/>
        </w:rPr>
        <w:t xml:space="preserve">De Facto Independent CB/Fixed Exchange Rate </w:t>
      </w:r>
      <w:r w:rsidRPr="00322FE8">
        <w:rPr>
          <w:i/>
          <w:iCs/>
          <w:highlight w:val="cyan"/>
        </w:rPr>
        <w:sym w:font="Wingdings" w:char="F0E0"/>
      </w:r>
      <w:r w:rsidRPr="00322FE8">
        <w:rPr>
          <w:i/>
          <w:iCs/>
          <w:highlight w:val="cyan"/>
        </w:rPr>
        <w:t xml:space="preserve">  (Welfare) Net Social Benefits from Commitment Despite Potential Cost to Flexibility --&gt; (Selectorate Theory or Popular Unrest) Net Less Political Instability</w:t>
      </w:r>
    </w:p>
    <w:p w14:paraId="0D6B46B2" w14:textId="77777777" w:rsidR="00A07A76" w:rsidRPr="00322FE8" w:rsidRDefault="00A07A76" w:rsidP="00A07A76">
      <w:pPr>
        <w:rPr>
          <w:i/>
          <w:iCs/>
          <w:highlight w:val="cyan"/>
        </w:rPr>
      </w:pPr>
      <w:r w:rsidRPr="00322FE8">
        <w:rPr>
          <w:i/>
          <w:iCs/>
          <w:highlight w:val="cyan"/>
        </w:rPr>
        <w:t>PBC</w:t>
      </w:r>
    </w:p>
    <w:p w14:paraId="6ED7020C" w14:textId="60F0F523" w:rsidR="009F5315" w:rsidRDefault="00A07A76" w:rsidP="0095563F">
      <w:pPr>
        <w:rPr>
          <w:i/>
          <w:iCs/>
        </w:rPr>
      </w:pPr>
      <w:r w:rsidRPr="00322FE8">
        <w:rPr>
          <w:i/>
          <w:iCs/>
          <w:highlight w:val="cyan"/>
        </w:rPr>
        <w:t>De Facto Independent CB/Fixed Exchange Rate -&gt; Net Less Manipulation -&gt; (Selectorate Theory or Popular Unrest) Net More Political Instability</w:t>
      </w:r>
    </w:p>
    <w:p w14:paraId="1C3F76E1" w14:textId="23E7D609" w:rsidR="004841BF" w:rsidRDefault="007D5D62" w:rsidP="0095563F">
      <w:r>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21F1A">
        <w:instrText xml:space="preserve"> ADDIN ZOTERO_ITEM CSL_CITATION {"citationID":"O406ZBHS","properties":{"formattedCitation":"(Bernhard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5E44C410" w14:textId="6A57A684" w:rsidR="00654FAD" w:rsidRPr="00654FAD" w:rsidRDefault="00654FAD" w:rsidP="0095563F">
      <w:r w:rsidRPr="008931FA">
        <w:t xml:space="preserve">A focus on parliamentary democracies only as in Bernhard and </w:t>
      </w:r>
      <w:proofErr w:type="spellStart"/>
      <w:r w:rsidRPr="008931FA">
        <w:t>Leblang</w:t>
      </w:r>
      <w:proofErr w:type="spellEnd"/>
      <w:r w:rsidRPr="008931FA">
        <w:t xml:space="preserve"> unfortunately </w:t>
      </w:r>
      <w:r>
        <w:t xml:space="preserve">weakens </w:t>
      </w:r>
      <w:r w:rsidRPr="008931FA">
        <w:t xml:space="preserve">the </w:t>
      </w:r>
      <w:r>
        <w:t>use of this paper in the judgement of</w:t>
      </w:r>
      <w:r w:rsidRPr="008931FA">
        <w:t xml:space="preserve"> political business cycles. Instability may be more a function of party and coalition dynamics, rather than actual voter stances in</w:t>
      </w:r>
      <w:r>
        <w:t xml:space="preserve"> many situations. In my work, I instead focus on a broader range of types of democ</w:t>
      </w:r>
      <w:r w:rsidR="00FE04C1">
        <w:t xml:space="preserve">racy </w:t>
      </w:r>
      <w:r w:rsidR="009163F9">
        <w:t>and</w:t>
      </w:r>
      <w:r w:rsidR="004363A6">
        <w:t>, of course, develop autocratic adjustments</w:t>
      </w:r>
      <w:r>
        <w:t>.</w:t>
      </w:r>
    </w:p>
    <w:p w14:paraId="2508BDC6" w14:textId="08B6BD31"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on 19 OECD countries</w:t>
      </w:r>
      <w:r w:rsidR="00F82D05">
        <w:t xml:space="preserve"> during </w:t>
      </w:r>
      <w:r w:rsidR="00F3239B">
        <w:t>the recent era of high capital mobility</w:t>
      </w:r>
      <w:r w:rsidR="00EE1868">
        <w:rPr>
          <w:rStyle w:val="FootnoteReference"/>
        </w:rPr>
        <w:footnoteReference w:id="9"/>
      </w:r>
      <w:r>
        <w:t xml:space="preserve"> </w:t>
      </w:r>
      <w:r>
        <w:rPr>
          <w:b/>
          <w:bCs/>
        </w:rPr>
        <w:fldChar w:fldCharType="begin"/>
      </w:r>
      <w:r w:rsidR="00721F1A">
        <w:rPr>
          <w:b/>
          <w:bCs/>
        </w:rPr>
        <w:instrText xml:space="preserve"> ADDIN ZOTERO_ITEM CSL_CITATION {"citationID":"3rAzdFGn","properties":{"formattedCitation":"(William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w:t>
      </w:r>
      <w:r w:rsidR="00894B3A">
        <w:lastRenderedPageBreak/>
        <w:t>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10"/>
      </w:r>
      <w:r w:rsidR="00422C65">
        <w:t xml:space="preserve"> This </w:t>
      </w:r>
      <w:r w:rsidR="00CB2341">
        <w:t>is claimed to provide</w:t>
      </w:r>
      <w:r w:rsidR="00B9197D">
        <w:t xml:space="preserve"> evidence against political business cycle and economic voting literatures</w:t>
      </w:r>
      <w:r w:rsidR="0014356D">
        <w:t xml:space="preserve">, at least in </w:t>
      </w:r>
      <w:r w:rsidR="0014356D" w:rsidRPr="008931FA">
        <w:t>the early part of 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2189A8A0" w14:textId="40DDE8B2" w:rsidR="00120EF8" w:rsidRPr="000730B4" w:rsidRDefault="00412A95" w:rsidP="005B7BAB">
      <w:pPr>
        <w:rPr>
          <w:i/>
          <w:iCs/>
        </w:rPr>
      </w:pPr>
      <w:r w:rsidRPr="00C700DF">
        <w:rPr>
          <w:i/>
          <w:iCs/>
          <w:highlight w:val="cyan"/>
        </w:rPr>
        <w:t>Revision begins here</w:t>
      </w:r>
    </w:p>
    <w:p w14:paraId="100A1F5C" w14:textId="66F1079F" w:rsidR="0006642E" w:rsidRPr="008931FA" w:rsidRDefault="0006642E" w:rsidP="0006642E">
      <w:pPr>
        <w:pStyle w:val="Heading1"/>
      </w:pPr>
      <w:r>
        <w:t>Endogeneity Issues</w:t>
      </w:r>
    </w:p>
    <w:p w14:paraId="1ED3ABD6" w14:textId="3FE88234" w:rsidR="00F31C49"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w:t>
      </w:r>
      <w:r w:rsidR="00F31C49">
        <w:t xml:space="preserve">rule out the potential that the choice of commitment institutions </w:t>
      </w:r>
      <w:r w:rsidR="008B421B">
        <w:t xml:space="preserve">and their de facto strength </w:t>
      </w:r>
      <w:r w:rsidR="00F31C49">
        <w:t>may be dependent on politics and stability considerations specifically</w:t>
      </w:r>
      <w:r w:rsidR="008B421B">
        <w:t xml:space="preserve">, nor do they </w:t>
      </w:r>
      <w:r w:rsidR="003D2646">
        <w:t>capture other potential confounders such as federalism or corporatism</w:t>
      </w:r>
      <w:r w:rsidR="008B421B">
        <w:t>.</w:t>
      </w:r>
    </w:p>
    <w:p w14:paraId="56ACFF8B" w14:textId="462DC3D5" w:rsidR="00F10B19" w:rsidRPr="00F238DC" w:rsidRDefault="00640220" w:rsidP="003D2646">
      <w:pPr>
        <w:rPr>
          <w:color w:val="0000FF"/>
          <w:highlight w:val="yellow"/>
          <w:u w:val="single"/>
        </w:rPr>
      </w:pPr>
      <w:r w:rsidRPr="00F238DC">
        <w:rPr>
          <w:highlight w:val="yellow"/>
        </w:rPr>
        <w:t>Potential of rate dependence: in M</w:t>
      </w:r>
      <w:r w:rsidR="0021197C">
        <w:rPr>
          <w:highlight w:val="yellow"/>
        </w:rPr>
        <w:t>onte Carlo</w:t>
      </w:r>
      <w:r w:rsidRPr="00F238DC">
        <w:rPr>
          <w:highlight w:val="yellow"/>
        </w:rPr>
        <w:t xml:space="preserve"> simulations this causes bias and inconsistency for cox estimators: </w:t>
      </w:r>
      <w:hyperlink r:id="rId8" w:history="1">
        <w:r w:rsidRPr="00F238DC">
          <w:rPr>
            <w:rStyle w:val="Hyperlink"/>
            <w:highlight w:val="yellow"/>
          </w:rPr>
          <w:t>http://goodliffe.byu.edu/papers/tvc2.pdf</w:t>
        </w:r>
      </w:hyperlink>
    </w:p>
    <w:p w14:paraId="2745D53B" w14:textId="5177D8E8" w:rsidR="003E2243" w:rsidRPr="00F238DC" w:rsidRDefault="00326DB4" w:rsidP="003D2646">
      <w:pPr>
        <w:rPr>
          <w:highlight w:val="yellow"/>
        </w:rPr>
      </w:pPr>
      <w:r w:rsidRPr="00F238DC">
        <w:rPr>
          <w:highlight w:val="yellow"/>
        </w:rPr>
        <w:t xml:space="preserve">Directly from paper: motivations of </w:t>
      </w:r>
      <w:r w:rsidR="005868DD" w:rsidRPr="00F238DC">
        <w:rPr>
          <w:highlight w:val="yellow"/>
        </w:rPr>
        <w:t>political actors</w:t>
      </w:r>
      <w:r w:rsidR="00F3520F" w:rsidRPr="00F238DC">
        <w:rPr>
          <w:highlight w:val="yellow"/>
        </w:rPr>
        <w:t xml:space="preserve"> can be affected by likelihood of government ending</w:t>
      </w:r>
    </w:p>
    <w:p w14:paraId="7DC91298" w14:textId="3FF135BB" w:rsidR="001527B0" w:rsidRPr="00F238DC" w:rsidRDefault="001527B0" w:rsidP="003D2646">
      <w:pPr>
        <w:rPr>
          <w:highlight w:val="yellow"/>
        </w:rPr>
      </w:pPr>
      <w:r w:rsidRPr="00F238DC">
        <w:rPr>
          <w:highlight w:val="yellow"/>
        </w:rPr>
        <w:t>Time varying covariate and solutions?</w:t>
      </w:r>
    </w:p>
    <w:p w14:paraId="23A7110A" w14:textId="246BC1DA" w:rsidR="000F41B7" w:rsidRDefault="000F41B7" w:rsidP="003D2646">
      <w:r w:rsidRPr="00F238DC">
        <w:rPr>
          <w:highlight w:val="yellow"/>
        </w:rPr>
        <w:t>Look at a Cox hazard model</w:t>
      </w:r>
      <w:r w:rsidR="00825CC9" w:rsidRPr="00F238DC">
        <w:rPr>
          <w:highlight w:val="yellow"/>
        </w:rPr>
        <w:t xml:space="preserve"> for resource</w:t>
      </w:r>
    </w:p>
    <w:p w14:paraId="5B20DB3A" w14:textId="089D1729" w:rsidR="00714CD2" w:rsidRPr="008C1F67" w:rsidRDefault="000D1824" w:rsidP="002F28E1">
      <w:pPr>
        <w:rPr>
          <w:lang w:val="en-GB"/>
        </w:rPr>
      </w:pPr>
      <w:r>
        <w:t>There is also every reason to believe that c</w:t>
      </w:r>
      <w:r w:rsidR="00771418">
        <w:t>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0D556D">
        <w:rPr>
          <w:lang w:val="en-GB"/>
        </w:rPr>
        <w:instrText xml:space="preserve"> ADDIN ZOTERO_ITEM CSL_CITATION {"citationID":"c0PPeM0V","properties":{"formattedCitation":"(Eijffinger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0A1169F4" w14:textId="5C34F0CA" w:rsidR="008120B7" w:rsidRPr="008C1F67" w:rsidRDefault="00AF5498" w:rsidP="002F28E1">
      <w:r w:rsidRPr="008C1F67">
        <w:t>This point is especially salient in the consideration of de jure and de facto independence</w:t>
      </w:r>
      <w:r w:rsidR="00AD0359" w:rsidRPr="008C1F67">
        <w:t>. De jure</w:t>
      </w:r>
      <w:r w:rsidR="00DE727A" w:rsidRPr="008C1F67">
        <w:t>, or statutory independence tends to be rather fixed over time</w:t>
      </w:r>
      <w:r w:rsidR="000E49C8" w:rsidRPr="008C1F67">
        <w:t xml:space="preserve"> </w:t>
      </w:r>
      <w:r w:rsidR="000E49C8" w:rsidRPr="008C1F67">
        <w:fldChar w:fldCharType="begin"/>
      </w:r>
      <w:r w:rsidR="000E49C8" w:rsidRPr="008C1F67">
        <w:instrText xml:space="preserve"> ADDIN ZOTERO_ITEM CSL_CITATION {"citationID":"RXgTHuO6","properties":{"formattedCitation":"(Garriga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8C1F67">
        <w:fldChar w:fldCharType="separate"/>
      </w:r>
      <w:r w:rsidR="000E49C8" w:rsidRPr="008C1F67">
        <w:rPr>
          <w:rFonts w:ascii="Calibri" w:hAnsi="Calibri" w:cs="Calibri"/>
        </w:rPr>
        <w:t>(Garriga 2016)</w:t>
      </w:r>
      <w:r w:rsidR="000E49C8" w:rsidRPr="008C1F67">
        <w:fldChar w:fldCharType="end"/>
      </w:r>
      <w:r w:rsidR="00822232" w:rsidRPr="008C1F67">
        <w:t>, meaning that it tends to b</w:t>
      </w:r>
      <w:r w:rsidR="005B777C" w:rsidRPr="008C1F67">
        <w:t>e based on a single set of decisions</w:t>
      </w:r>
      <w:r w:rsidR="00056BCA" w:rsidRPr="008C1F67">
        <w:t xml:space="preserve"> </w:t>
      </w:r>
      <w:r w:rsidR="00744FAD" w:rsidRPr="008C1F67">
        <w:t>when relevant legal measures are passed</w:t>
      </w:r>
      <w:r w:rsidR="000E49C8" w:rsidRPr="008C1F67">
        <w:t>, perhaps limiting political considerations to that period</w:t>
      </w:r>
      <w:r w:rsidR="002F4130" w:rsidRPr="008C1F67">
        <w:t>.</w:t>
      </w:r>
      <w:r w:rsidR="0053203E" w:rsidRPr="008C1F67">
        <w:t xml:space="preserve"> </w:t>
      </w:r>
      <w:r w:rsidR="008120B7" w:rsidRPr="008C1F67">
        <w:t xml:space="preserve">But the </w:t>
      </w:r>
      <w:r w:rsidR="00DD47BF" w:rsidRPr="008C1F67">
        <w:t>matter</w:t>
      </w:r>
      <w:r w:rsidR="008120B7" w:rsidRPr="008C1F67">
        <w:t xml:space="preserve"> of de facto central bank independence is far more often</w:t>
      </w:r>
      <w:r w:rsidR="00DD47BF" w:rsidRPr="008C1F67">
        <w:t xml:space="preserve"> political</w:t>
      </w:r>
      <w:r w:rsidR="00646411" w:rsidRPr="008C1F67">
        <w:t>. This can be seen in the current example given earlier</w:t>
      </w:r>
      <w:r w:rsidR="0053203E" w:rsidRPr="008C1F67">
        <w:t>: political interference and threats are very much possible.</w:t>
      </w:r>
      <w:r w:rsidR="004344FA" w:rsidRPr="008C1F67">
        <w:t xml:space="preserve"> Political actors may be heterogenous in the value they place on independence, as outcry indicates.</w:t>
      </w:r>
    </w:p>
    <w:p w14:paraId="5CA621DA" w14:textId="3E684281" w:rsidR="00140B6E" w:rsidRPr="008C1F67" w:rsidRDefault="00FD3172" w:rsidP="002F28E1">
      <w:pPr>
        <w:rPr>
          <w:lang w:val="en-GB"/>
        </w:rPr>
      </w:pPr>
      <w:r w:rsidRPr="008C1F67">
        <w:rPr>
          <w:lang w:val="en-GB"/>
        </w:rPr>
        <w:t>Some authors have argued that de facto independence may not even exist</w:t>
      </w:r>
      <w:r w:rsidR="00C15E9D" w:rsidRPr="008C1F67">
        <w:rPr>
          <w:lang w:val="en-GB"/>
        </w:rPr>
        <w:t xml:space="preserve"> </w:t>
      </w:r>
      <w:r w:rsidRPr="008C1F67">
        <w:rPr>
          <w:lang w:val="en-GB"/>
        </w:rPr>
        <w:t xml:space="preserve">in </w:t>
      </w:r>
      <w:r w:rsidR="00431F74" w:rsidRPr="008C1F67">
        <w:rPr>
          <w:lang w:val="en-GB"/>
        </w:rPr>
        <w:t xml:space="preserve">developing nations or </w:t>
      </w:r>
      <w:r w:rsidRPr="008C1F67">
        <w:rPr>
          <w:lang w:val="en-GB"/>
        </w:rPr>
        <w:t>non-democracies</w:t>
      </w:r>
      <w:r w:rsidR="00532D71" w:rsidRPr="008C1F67">
        <w:rPr>
          <w:lang w:val="en-GB"/>
        </w:rPr>
        <w:t>.</w:t>
      </w:r>
      <w:r w:rsidR="00D96307" w:rsidRPr="008C1F67">
        <w:rPr>
          <w:lang w:val="en-GB"/>
        </w:rPr>
        <w:t xml:space="preserve"> </w:t>
      </w:r>
      <w:r w:rsidR="00536188" w:rsidRPr="008C1F67">
        <w:t>In terms of</w:t>
      </w:r>
      <w:r w:rsidR="00D96307" w:rsidRPr="008C1F67">
        <w:t xml:space="preserve"> predicting</w:t>
      </w:r>
      <w:r w:rsidR="00536188" w:rsidRPr="008C1F67">
        <w:t xml:space="preserve"> the impact on </w:t>
      </w:r>
      <w:r w:rsidR="00D96307" w:rsidRPr="008C1F67">
        <w:t>average inflation rates, turnover of bank</w:t>
      </w:r>
      <w:r w:rsidR="00140B6E" w:rsidRPr="008C1F67">
        <w:t xml:space="preserve"> executive</w:t>
      </w:r>
      <w:r w:rsidR="00D96307" w:rsidRPr="008C1F67">
        <w:t>s</w:t>
      </w:r>
      <w:r w:rsidR="00140B6E" w:rsidRPr="008C1F67">
        <w:t xml:space="preserve"> is </w:t>
      </w:r>
      <w:r w:rsidR="00D96307" w:rsidRPr="008C1F67">
        <w:lastRenderedPageBreak/>
        <w:t xml:space="preserve">superior to de jure independence in a number of countries </w:t>
      </w:r>
      <w:r w:rsidR="00140B6E" w:rsidRPr="008C1F67">
        <w:fldChar w:fldCharType="begin"/>
      </w:r>
      <w:r w:rsidR="00140B6E" w:rsidRPr="008C1F67">
        <w:instrText xml:space="preserve"> ADDIN ZOTERO_ITEM CSL_CITATION {"citationID":"NWGqHUAw","properties":{"formattedCitation":"(Cukierman,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8C1F67">
        <w:fldChar w:fldCharType="separate"/>
      </w:r>
      <w:r w:rsidR="00140B6E" w:rsidRPr="008C1F67">
        <w:rPr>
          <w:rFonts w:ascii="Calibri" w:hAnsi="Calibri" w:cs="Calibri"/>
        </w:rPr>
        <w:t>(Cukierman, Webb, and Neyapti 1992)</w:t>
      </w:r>
      <w:r w:rsidR="00140B6E" w:rsidRPr="008C1F67">
        <w:fldChar w:fldCharType="end"/>
      </w:r>
      <w:r w:rsidR="00140B6E" w:rsidRPr="008C1F67">
        <w:t>.</w:t>
      </w:r>
      <w:r w:rsidR="00BF0FB0" w:rsidRPr="008C1F67">
        <w:t xml:space="preserve"> Justification for the fact that </w:t>
      </w:r>
      <w:r w:rsidR="002145FB" w:rsidRPr="008C1F67">
        <w:t xml:space="preserve">independence seems to create fiscal restraint only in democratic and rule of law countries </w:t>
      </w:r>
      <w:r w:rsidR="00F91141" w:rsidRPr="008C1F67">
        <w:t>comes from the fact</w:t>
      </w:r>
      <w:r w:rsidR="00D31298" w:rsidRPr="008C1F67">
        <w:t xml:space="preserve"> that</w:t>
      </w:r>
      <w:r w:rsidR="008B30FD" w:rsidRPr="008C1F67">
        <w:t>, due to political circumstances,</w:t>
      </w:r>
      <w:r w:rsidR="00D31298" w:rsidRPr="008C1F67">
        <w:t xml:space="preserve"> these countries have de jure</w:t>
      </w:r>
      <w:r w:rsidR="008B30FD" w:rsidRPr="008C1F67">
        <w:t xml:space="preserve"> </w:t>
      </w:r>
      <w:r w:rsidR="00DD0162" w:rsidRPr="008C1F67">
        <w:t>and not just de facto independence</w:t>
      </w:r>
      <w:r w:rsidR="002F076C" w:rsidRPr="008C1F67">
        <w:t xml:space="preserve"> </w:t>
      </w:r>
      <w:r w:rsidR="00DD0162" w:rsidRPr="008C1F67">
        <w:fldChar w:fldCharType="begin"/>
      </w:r>
      <w:r w:rsidR="002F076C" w:rsidRPr="008C1F67">
        <w:instrText xml:space="preserve"> ADDIN ZOTERO_ITEM CSL_CITATION {"citationID":"9mOzGegC","properties":{"formattedCitation":"(Bodea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8C1F67">
        <w:fldChar w:fldCharType="separate"/>
      </w:r>
      <w:r w:rsidR="002F076C" w:rsidRPr="008C1F67">
        <w:rPr>
          <w:rFonts w:ascii="Calibri" w:hAnsi="Calibri" w:cs="Calibri"/>
        </w:rPr>
        <w:t>(Bodea and Higashijima 2017)</w:t>
      </w:r>
      <w:r w:rsidR="00DD0162" w:rsidRPr="008C1F67">
        <w:fldChar w:fldCharType="end"/>
      </w:r>
      <w:r w:rsidR="00DD0162" w:rsidRPr="008C1F67">
        <w:t>.</w:t>
      </w:r>
    </w:p>
    <w:p w14:paraId="126AC013" w14:textId="0D2E91D5"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political </w:t>
      </w:r>
      <w:r w:rsidR="00E6612B">
        <w:rPr>
          <w:lang w:val="en-GB"/>
        </w:rPr>
        <w:t>stability or instability has an impact</w:t>
      </w:r>
      <w:r w:rsidR="004918F0">
        <w:rPr>
          <w:lang w:val="en-GB"/>
        </w:rPr>
        <w:t xml:space="preserve">; we should be wary of </w:t>
      </w:r>
      <w:r w:rsidR="008C1F67">
        <w:rPr>
          <w:lang w:val="en-GB"/>
        </w:rPr>
        <w:t>endogeneity</w:t>
      </w:r>
      <w:r w:rsidR="004918F0">
        <w:rPr>
          <w:lang w:val="en-GB"/>
        </w:rPr>
        <w:t xml:space="preserve">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80697">
        <w:instrText xml:space="preserve"> ADDIN ZOTERO_ITEM CSL_CITATION {"citationID":"tICjSfrQ","properties":{"formattedCitation":"(Eijffinger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0F59CF">
        <w:t>.</w:t>
      </w:r>
      <w:r w:rsidR="002A5458">
        <w:rPr>
          <w:lang w:val="en-GB"/>
        </w:rPr>
        <w:t xml:space="preserve"> </w:t>
      </w:r>
      <w:r w:rsidR="00FE0528">
        <w:t xml:space="preserve">Political instability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E017C6">
        <w:instrText xml:space="preserve"> ADDIN ZOTERO_ITEM CSL_CITATION {"citationID":"Oa6yxlsl","properties":{"formattedCitation":"(Goodman 1991)","plainCitation":"(Goodman 1991)","dontUpdate":true,"noteIndex":0},"citationItems":[{"id":234,"uris":["http://zotero.org/users/5939705/items/KU9XMBXE"],"uri":["http://zotero.org/users/5939705/items/KU9XMBXE"],"itemData":{"id":234,"type":"article-journal","archive":"JSTOR","container-title":"Comparative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09715C7C" w:rsidR="006821AF" w:rsidRDefault="00487D37" w:rsidP="00154F12">
      <w:r>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154F12" w:rsidRPr="00AB3832">
        <w:instrText xml:space="preserve"> ADDIN ZOTERO_ITEM CSL_CITATION {"citationID":"Dmq9JPQg","properties":{"formattedCitation":"(Cukierman 1992)","plainCitation":"(Cukierman 1992)","noteIndex":0},"citationItems":[{"id":221,"uris":["http://zotero.org/users/5939705/items/BB5FLGYR"],"uri":["http://zotero.org/users/5939705/items/BB5FLGYR"],"itemData":{"id":221,"type":"book","call-number":"HG229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69682D" w:rsidRPr="00AB3832">
        <w:instrText xml:space="preserve"> ADDIN ZOTERO_ITEM CSL_CITATION {"citationID":"Tb68p5PW","properties":{"formattedCitation":"(Cukierman and Webb 1995)","plainCitation":"(Cukierman and Webb 1995)","noteIndex":0},"citationItems":[{"id":222,"uris":["http://zotero.org/users/5939705/items/EZTKZEY8"],"uri":["http://zotero.org/users/5939705/items/EZTKZEY8"],"itemData":{"id":222,"type":"article-journal","abstract":"Political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D80077" w:rsidRPr="00AB3832">
        <w:instrText xml:space="preserve"> ADDIN ZOTERO_ITEM CSL_CITATION {"citationID":"u18QeNtY","properties":{"formattedCitation":"(J. D. Haan and Siermann 1996)","plainCitation":"(J. D. Haan and Siermann 1996)","noteIndex":0},"citationItems":[{"id":223,"uris":["http://zotero.org/users/5939705/items/VD8JK9VU"],"uri":["http://zotero.org/users/5939705/items/VD8JK9VU"],"itemData":{"id":223,"type":"article-journal","abstract":"We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D80077">
        <w:instrText xml:space="preserve"> ADDIN ZOTERO_ITEM CSL_CITATION {"citationID":"3VPYdhfX","properties":{"formattedCitation":"(J. de Haan and van\\uc0\\u8217{}t Hag 1995)","plainCitation":"(J. de Haan and van’t Hag 1995)","noteIndex":0},"citationItems":[{"id":225,"uris":["http://zotero.org/users/5939705/items/2ZWNU7U8"],"uri":["http://zotero.org/users/5939705/items/2ZWNU7U8"],"itemData":{"id":225,"type":"article-journal","abstract":"In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692ACE1C" w:rsidR="002930B1" w:rsidRDefault="00CD318F" w:rsidP="002930B1">
      <w:r>
        <w:t>Aside from th</w:t>
      </w:r>
      <w:r w:rsidR="00117E35">
        <w:t>ese concerns that instability affects independence</w:t>
      </w:r>
      <w:r w:rsidR="0026486A">
        <w:t xml:space="preserve">, there are </w:t>
      </w:r>
      <w:r w:rsidR="002E33D9">
        <w:t xml:space="preserve">many 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and corporatism.</w:t>
      </w:r>
    </w:p>
    <w:p w14:paraId="712925D9" w14:textId="1F53D4F7"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15567E" w:rsidRPr="0015567E">
        <w:rPr>
          <w:lang w:val="en-GB"/>
        </w:rPr>
        <w:instrText xml:space="preserve"> ADDIN ZOTERO_ITEM CSL_CITATION {"citationID":"iZreqDiw","properties":{"formattedCitation":"(Moser 1999)","plainCitation":"(Moser 1999)","noteIndex":0},"citationItems":[{"id":228,"uris":["http://zotero.org/users/5939705/items/4834JVMH"],"uri":["http://zotero.org/users/5939705/items/4834JVMH"],"itemData":{"id":228,"type":"article-journal","abstract":"The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0B264927"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1C7644">
        <w:instrText xml:space="preserve"> ADDIN ZOTERO_ITEM CSL_CITATION {"citationID":"xTQOHyev","properties":{"formattedCitation":"(Lijphart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xml:space="preserve">, </w:t>
      </w:r>
      <w:proofErr w:type="spellStart"/>
      <w:r w:rsidR="00E76916">
        <w:t>Lipjhart</w:t>
      </w:r>
      <w:proofErr w:type="spellEnd"/>
      <w:r w:rsidR="00E76916">
        <w:t xml:space="preserve">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w:t>
      </w:r>
      <w:proofErr w:type="gramStart"/>
      <w:r w:rsidR="00460DBB">
        <w:t>similar</w:t>
      </w:r>
      <w:r w:rsidR="00B1448B">
        <w:t xml:space="preserve"> </w:t>
      </w:r>
      <w:r w:rsidR="00460DBB">
        <w:t>to</w:t>
      </w:r>
      <w:proofErr w:type="gramEnd"/>
      <w:r w:rsidR="00460DBB">
        <w:t xml:space="preserve">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w:t>
      </w:r>
      <w:r w:rsidR="00E11902">
        <w:lastRenderedPageBreak/>
        <w:t xml:space="preserve">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2B358218"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2D3B9C">
        <w:rPr>
          <w:rFonts w:ascii="Calibri" w:hAnsi="Calibri" w:cs="Calibri"/>
        </w:rPr>
        <w:instrText xml:space="preserve"> ADDIN ZOTERO_ITEM CSL_CITATION {"citationID":"PGzn4Exz","properties":{"formattedCitation":"(Hall and Franzese 1998)","plainCitation":"(Hall and Franzese 1998)","noteIndex":0},"citationItems":[{"id":239,"uris":["http://zotero.org/users/5939705/items/CNKBMC9X"],"uri":["http://zotero.org/users/5939705/items/CNKBMC9X"],"itemData":{"id":239,"type":"article-journal","abstract":"Plans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ions are 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With this realization, one might expect these institutions to go together</w:t>
      </w:r>
      <w:r w:rsidR="000B2C68">
        <w:t xml:space="preserve">, although the evidence is not clear on this account </w:t>
      </w:r>
      <w:r w:rsidR="000B2C68">
        <w:fldChar w:fldCharType="begin"/>
      </w:r>
      <w:r w:rsidR="004162EB">
        <w:instrText xml:space="preserve"> ADDIN ZOTERO_ITEM CSL_CITATION {"citationID":"QhrUl1gQ","properties":{"formattedCitation":"(Lijphart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0C0D6ECD" w:rsidR="00CB2F92" w:rsidRDefault="00427283" w:rsidP="00903AF9">
      <w:r>
        <w:t>Exchange rate</w:t>
      </w:r>
      <w:r w:rsidR="007534DB">
        <w:t xml:space="preserve"> regimes are also likely to face endogeneity problems.</w:t>
      </w:r>
      <w:r w:rsidR="00732BF0">
        <w:t xml:space="preserve"> </w:t>
      </w:r>
      <w:r w:rsidR="00C2432F">
        <w:t>As an example of a reverse causality 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w:t>
      </w:r>
      <w:proofErr w:type="gramStart"/>
      <w:r w:rsidR="00ED0999">
        <w:t>functions</w:t>
      </w:r>
      <w:proofErr w:type="gramEnd"/>
      <w:r w:rsidR="00ED0999">
        <w:t xml:space="preserve">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w:t>
      </w:r>
      <w:proofErr w:type="gramStart"/>
      <w:r w:rsidR="00812E1A">
        <w:t>approaches</w:t>
      </w:r>
      <w:proofErr w:type="gramEnd"/>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119E94A"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E30B1B">
        <w:instrText xml:space="preserve"> ADDIN ZOTERO_ITEM CSL_CITATION {"citationID":"mWQIVxTo","properties":{"formattedCitation":"(Blomberg, Frieden, and Stein n.d.)","plainCitation":"(Blomberg, Frieden, and Stein n.d.)","noteIndex":0},"citationItems":[{"id":252,"uris":["http://zotero.org/users/5939705/items/QKMVGBMW"],"uri":["http://zotero.org/users/5939705/items/QKMVGBMW"],"itemData":{"id":252,"type":"article-journal","container-title":"JOURNAL OF APPLIED ECONOMICS","language":"en","page":"23","source":"Zotero","title":"SUSTAINING FIXED RATES: THE POLITICAL ECONOMY OF CURRENCY PEGS IN LATIN AMERICA","author":[{"family":"Blomberg","given":"S Brock"},{"family":"Frieden","given":"Jeffry"},{"family":"Stein","given":"Ernesto"}]}}],"schema":"https://github.com/citation-style-language/schema/raw/master/csl-citation.json"} </w:instrText>
      </w:r>
      <w:r w:rsidR="00E26C21">
        <w:fldChar w:fldCharType="separate"/>
      </w:r>
      <w:r w:rsidR="00E30B1B" w:rsidRPr="00E30B1B">
        <w:rPr>
          <w:rFonts w:ascii="Calibri" w:hAnsi="Calibri" w:cs="Calibri"/>
        </w:rPr>
        <w:t>(Blomberg, Frieden, and Stein n.d.)</w:t>
      </w:r>
      <w:r w:rsidR="00E26C21">
        <w:fldChar w:fldCharType="end"/>
      </w:r>
      <w:r>
        <w:t>.</w:t>
      </w:r>
    </w:p>
    <w:p w14:paraId="15F47E3A" w14:textId="6C621190" w:rsidR="00DB327F" w:rsidRDefault="00DB327F" w:rsidP="002F28E1">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561B91">
        <w:instrText xml:space="preserve"> ADDIN ZOTERO_ITEM CSL_CITATION {"citationID":"2P86734f","properties":{"formattedCitation":"(Leblang and Bernhard 2000)","plainCitation":"(Leblang and Bernhard 2000)","noteIndex":0},"citationItems":[{"id":290,"uris":["http://zotero.org/users/5939705/items/KC6JFWUL"],"uri":["http://zotero.org/users/5939705/items/KC6JFWUL"],"itemData":{"id":290,"type":"article-journal","abstract":"Recent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77D793B5" w14:textId="5754568E" w:rsidR="00323FBD" w:rsidRPr="000F2424" w:rsidRDefault="000F2424" w:rsidP="002F28E1">
      <w:pPr>
        <w:rPr>
          <w:i/>
          <w:iCs/>
        </w:rPr>
      </w:pPr>
      <w:r w:rsidRPr="000F2424">
        <w:rPr>
          <w:i/>
          <w:iCs/>
          <w:highlight w:val="cyan"/>
        </w:rPr>
        <w:t xml:space="preserve">Likely to be cut- </w:t>
      </w:r>
      <w:r w:rsidR="00CE7E84">
        <w:rPr>
          <w:i/>
          <w:iCs/>
          <w:highlight w:val="cyan"/>
        </w:rPr>
        <w:t>write something here on a</w:t>
      </w:r>
      <w:r w:rsidR="00323FBD" w:rsidRPr="000F2424">
        <w:rPr>
          <w:i/>
          <w:iCs/>
          <w:highlight w:val="cyan"/>
        </w:rPr>
        <w:t>utocracy political instability and fixed exchange rate</w:t>
      </w:r>
      <w:r w:rsidR="00CE7E84">
        <w:rPr>
          <w:i/>
          <w:iCs/>
          <w:highlight w:val="cyan"/>
        </w:rPr>
        <w:t>s?</w:t>
      </w:r>
    </w:p>
    <w:p w14:paraId="09A11947" w14:textId="0A9530FD"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892F18" w:rsidRPr="00A25197">
        <w:instrText xml:space="preserve"> ADDIN ZOTERO_ITEM CSL_CITATION {"citationID":"KLlphqfg","properties":{"formattedCitation":"(Frieden 2015)","plainCitation":"(Frieden 2015)","noteIndex":0},"citationItems":[{"id":329,"uris":["http://zotero.org/users/5939705/items/CSQDG8E2"],"uri":["http://zotero.org/users/5939705/items/CSQDG8E2"],"itemData":{"id":329,"type":"chapter","abstract":"This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lastRenderedPageBreak/>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w:t>
      </w:r>
      <w:proofErr w:type="gramStart"/>
      <w:r w:rsidR="008D6EDB" w:rsidRPr="00F7308B">
        <w:t>similar to</w:t>
      </w:r>
      <w:proofErr w:type="gramEnd"/>
      <w:r w:rsidR="008D6EDB" w:rsidRPr="00F7308B">
        <w:t xml:space="preserve">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65B9DEAC" w:rsidR="005D222E" w:rsidRDefault="00A521CB" w:rsidP="00866D90">
      <w:r w:rsidRPr="00E45878">
        <w:t xml:space="preserve">Another example of potential </w:t>
      </w:r>
      <w:r w:rsidR="000D148F" w:rsidRPr="00E45878">
        <w:t xml:space="preserve">confounding </w:t>
      </w:r>
      <w:proofErr w:type="gramStart"/>
      <w:r w:rsidR="000D148F" w:rsidRPr="00E45878">
        <w:t>factors</w:t>
      </w:r>
      <w:proofErr w:type="gramEnd"/>
      <w:r w:rsidR="00FC6122" w:rsidRPr="00E45878">
        <w:t xml:space="preserve"> comes directly from the “original sin” argumen</w:t>
      </w:r>
      <w:r w:rsidR="00E45878" w:rsidRPr="00E45878">
        <w:t xml:space="preserve">t </w:t>
      </w:r>
      <w:r w:rsidR="00E45878" w:rsidRPr="00E45878">
        <w:rPr>
          <w:rFonts w:ascii="Calibri" w:hAnsi="Calibri" w:cs="Calibri"/>
        </w:rPr>
        <w:t>(</w:t>
      </w:r>
      <w:proofErr w:type="spellStart"/>
      <w:r w:rsidR="00E45878" w:rsidRPr="00E45878">
        <w:rPr>
          <w:rFonts w:ascii="Calibri" w:hAnsi="Calibri" w:cs="Calibri"/>
        </w:rPr>
        <w:t>Eichengreen</w:t>
      </w:r>
      <w:proofErr w:type="spellEnd"/>
      <w:r w:rsidR="00E45878" w:rsidRPr="00E45878">
        <w:rPr>
          <w:rFonts w:ascii="Calibri" w:hAnsi="Calibri" w:cs="Calibri"/>
        </w:rPr>
        <w:t xml:space="preserve">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18BB2747"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E10AB5">
        <w:t>Most importantly, I aim to use panel data</w:t>
      </w:r>
      <w:r w:rsidR="00E13612">
        <w:t xml:space="preserve"> from a broad range of countries over the period considered.</w:t>
      </w:r>
      <w:r w:rsidR="00A20F47">
        <w:t xml:space="preserve"> </w:t>
      </w:r>
      <w:r w:rsidR="00295598">
        <w:t xml:space="preserve">Panel data </w:t>
      </w:r>
      <w:r w:rsidR="004D1615">
        <w:t>should</w:t>
      </w:r>
      <w:r w:rsidR="00A00E9D">
        <w:t xml:space="preserve"> also</w:t>
      </w:r>
      <w:r w:rsidR="00295598">
        <w:t xml:space="preserve"> allow me to conduct my analysis using the appropriate number of lags and alternative estimators </w:t>
      </w:r>
      <w:r w:rsidR="00295598">
        <w:fldChar w:fldCharType="begin"/>
      </w:r>
      <w:r w:rsidR="00534F04">
        <w:instrText xml:space="preserve"> ADDIN ZOTERO_ITEM CSL_CITATION {"citationID":"4x7i099d","properties":{"formattedCitation":"(Arellano and Bond 1991)","plainCitation":"(Arellano and Bond 1991)","noteIndex":0},"citationItems":[{"id":"Tj8fkmC2/P4Q8Xkor","uris":["http://zotero.org/users/5939705/items/9TYX7GHV"],"uri":["http://zotero.org/users/5939705/items/9TYX7GHV"],"itemData":{"id":62,"type":"article-journal","title":"Some Tests of Specification for Panel Data: Monte Carlo Evidence and an Application to Employment Equations","container-title":"The Review of Economic Studies","page":"277","volume":"58","issue":"2","source":"DOI.org (Crossref)","DOI":"10.2307/2297968","ISSN":"00346527","title-short":"Some Tests of Specification for Panel Data","journalAbbreviation":"The Review of Economic Studies","language":"en","author":[{"family":"Arellano","given":"Manuel"},{"family":"Bond","given":"Stephen"}],"issued":{"date-parts":[["1991",4]]}}}],"schema":"https://github.com/citation-style-language/schema/raw/master/csl-citation.json"} </w:instrText>
      </w:r>
      <w:r w:rsidR="00295598">
        <w:fldChar w:fldCharType="separate"/>
      </w:r>
      <w:r w:rsidR="00295598" w:rsidRPr="00836FE1">
        <w:rPr>
          <w:rFonts w:ascii="Calibri" w:hAnsi="Calibri" w:cs="Calibri"/>
        </w:rPr>
        <w:t>(Arellano and Bond 1991)</w:t>
      </w:r>
      <w:r w:rsidR="00295598">
        <w:fldChar w:fldCharType="end"/>
      </w:r>
      <w:r w:rsidR="00295598">
        <w:t xml:space="preserve"> to </w:t>
      </w:r>
      <w:r w:rsidR="00C826D0">
        <w:t xml:space="preserve">help </w:t>
      </w:r>
      <w:r w:rsidR="00295598">
        <w:t>deal with reverse causality.</w:t>
      </w:r>
      <w:r w:rsidR="00E24B7E">
        <w:t xml:space="preserve"> </w:t>
      </w:r>
      <w:r w:rsidR="004C024D">
        <w:t>The implementation of</w:t>
      </w:r>
      <w:r w:rsidR="003F61A9">
        <w:t xml:space="preserve"> fixed effects</w:t>
      </w:r>
      <w:r w:rsidR="004C024D">
        <w:t xml:space="preserve"> may also </w:t>
      </w:r>
      <w:r w:rsidR="005B1ED8">
        <w:t>deal with some of the endogeneity issues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15141">
        <w:instrText xml:space="preserve"> ADDIN ZOTERO_ITEM CSL_CITATION {"citationID":"JfP7bQOC","properties":{"formattedCitation":"(Bernhard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p>
    <w:p w14:paraId="1755D434" w14:textId="476D02D8" w:rsidR="005F21F2" w:rsidRDefault="005F21F2" w:rsidP="002F28E1">
      <w:r>
        <w:t xml:space="preserve">To deal with the potential endogeneity problem of political interference specifically, I add measures of de facto independence </w:t>
      </w:r>
      <w:r w:rsidR="004C01EF">
        <w:t xml:space="preserve">in terms of the </w:t>
      </w:r>
      <w:r w:rsidR="00063E12">
        <w:t xml:space="preserve">irregular </w:t>
      </w:r>
      <w:r w:rsidR="004C01EF">
        <w:t xml:space="preserve">turnover of central bank governors </w:t>
      </w:r>
      <w:r w:rsidR="00901CCB">
        <w:t>as an independent variable in additional regressions.</w:t>
      </w:r>
      <w:r w:rsidR="00801107">
        <w:t xml:space="preserve"> The</w:t>
      </w:r>
      <w:r w:rsidR="00E96F9F">
        <w:t>se</w:t>
      </w:r>
      <w:r w:rsidR="00801107">
        <w:t xml:space="preserve"> events represent </w:t>
      </w:r>
      <w:r w:rsidR="00466339">
        <w:t xml:space="preserve">times when a governor is forced out </w:t>
      </w:r>
      <w:r w:rsidR="00E96F9F">
        <w:t>on a time scale not consistent with the legally mandated or suggested schedule.</w:t>
      </w:r>
    </w:p>
    <w:p w14:paraId="27CDAF66" w14:textId="6DEF7B30" w:rsidR="00D3395B" w:rsidRDefault="000C1F9A" w:rsidP="002F28E1">
      <w:r>
        <w:t>As an additional measure and robustness check</w:t>
      </w:r>
      <w:r w:rsidR="00F41ADB">
        <w:t xml:space="preserve"> to deal with endogeneity, I also </w:t>
      </w:r>
      <w:r w:rsidR="00AD1C6A">
        <w:t xml:space="preserve">pursue an </w:t>
      </w:r>
      <w:proofErr w:type="gramStart"/>
      <w:r w:rsidR="00AD1C6A">
        <w:t>instrumental variables</w:t>
      </w:r>
      <w:proofErr w:type="gramEnd"/>
      <w:r w:rsidR="00AD1C6A">
        <w:t xml:space="preserve">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5C07B3">
        <w:t xml:space="preserve"> </w:t>
      </w:r>
      <w:r w:rsidR="004D6E5C">
        <w:fldChar w:fldCharType="begin"/>
      </w:r>
      <w:r w:rsidR="007B4ED3">
        <w:instrText xml:space="preserve"> ADDIN ZOTERO_ITEM CSL_CITATION {"citationID":"woAB80kN","properties":{"formattedCitation":"(Crowe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4D6E5C">
        <w:fldChar w:fldCharType="separate"/>
      </w:r>
      <w:r w:rsidR="007B4ED3" w:rsidRPr="007B4ED3">
        <w:rPr>
          <w:rFonts w:ascii="Calibri" w:hAnsi="Calibri" w:cs="Calibri"/>
        </w:rPr>
        <w:t>(Crowe and Meade n.d.)</w:t>
      </w:r>
      <w:r w:rsidR="004D6E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204F443F"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A95AA3">
        <w:instrText xml:space="preserve"> ADDIN ZOTERO_ITEM CSL_CITATION {"citationID":"Z094HIsf","properties":{"formattedCitation":"(Card 1999)","plainCitation":"(Card 1999)","noteIndex":0},"citationItems":[{"id":250,"uris":["http://zotero.org/users/5939705/items/5993KLF2"],"uri":["http://zotero.org/users/5939705/items/5993KLF2"],"itemData":{"id":250,"type":"chapter","abstract":"This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58A43D0" w:rsidR="00781C53" w:rsidRDefault="004E6192" w:rsidP="002F28E1">
      <w:r>
        <w:lastRenderedPageBreak/>
        <w:t>Of course, tertiary education enrollment may not be fully necessary or the only path to central bank independence</w:t>
      </w:r>
      <w:r w:rsidR="00574767">
        <w:t xml:space="preserv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5BC856D3"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2A12A2">
        <w:instrText xml:space="preserve"> ADDIN ZOTERO_ITEM CSL_CITATION {"citationID":"EXfuhaP8","properties":{"formattedCitation":"(Alesina and Perotti 1993)","plainCitation":"(Alesina and Perotti 1993)","noteIndex":0},"citationItems":[{"id":247,"uris":["http://zotero.org/users/5939705/items/55UY5JGY"],"uri":["http://zotero.org/users/5939705/items/55UY5JGY"],"itemData":{"id":247,"type":"report","abstract":"This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ng to</w:t>
      </w:r>
      <w:r w:rsidR="00450331">
        <w:t xml:space="preserve"> 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357C4D">
        <w:instrText xml:space="preserve"> ADDIN ZOTERO_ITEM CSL_CITATION {"citationID":"1YKhYdyM","properties":{"formattedCitation":"(Huntington 1976)","plainCitation":"(Huntington 1976)","dontUpdate":true,"noteIndex":0},"citationItems":[{"id":260,"uris":["http://zotero.org/users/5939705/items/BZ7BGYMB"],"uri":["http://zotero.org/users/5939705/items/BZ7BGYMB"],"itemData":{"id":260,"type":"book","edition":"11.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7F3C479"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of connection</w:t>
      </w:r>
      <w:r w:rsidR="008323D0">
        <w:t xml:space="preserve"> of the education and development gap and </w:t>
      </w:r>
      <w:r w:rsidR="00AE1804">
        <w:t xml:space="preserve">political </w:t>
      </w:r>
      <w:r w:rsidR="008323D0">
        <w:t>violence</w:t>
      </w:r>
      <w:r w:rsidR="00660CA5" w:rsidRPr="003E3CA9">
        <w:t xml:space="preserve"> appears to be somewhat weak</w:t>
      </w:r>
      <w:r w:rsidR="00265492" w:rsidRPr="003E3CA9">
        <w:t>, holding in some specific cases but not as broad cross-national model</w:t>
      </w:r>
      <w:r w:rsidR="003E3CA9" w:rsidRPr="003E3CA9">
        <w:t xml:space="preserve"> </w:t>
      </w:r>
      <w:r w:rsidR="00067ABA" w:rsidRPr="003E3CA9">
        <w:fldChar w:fldCharType="begin"/>
      </w:r>
      <w:r w:rsidR="003E3CA9" w:rsidRPr="003E3CA9">
        <w:instrText xml:space="preserve"> ADDIN ZOTERO_ITEM CSL_CITATION {"citationID":"RlTgzi7l","properties":{"formattedCitation":"(Hibbs Jr 1973)","plainCitation":"(Hibbs Jr 1973)","noteIndex":0},"citationItems":[{"id":261,"uris":["http://zotero.org/users/5939705/items/X6SYRJNQ"],"uri":["http://zotero.org/users/5939705/items/X6SYRJNQ"],"itemData":{"id":261,"type":"book","ISBN":"978-0-471-38600-1","note":"DOI: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mostly for </w:t>
      </w:r>
      <w:r w:rsidR="00907583">
        <w:t>democratic cases, with a focus on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23265BE5" w:rsidR="00586C33" w:rsidRDefault="003E4FE7" w:rsidP="002F28E1">
      <w:r>
        <w:t xml:space="preserve">The strongest counter case in democracies might come from </w:t>
      </w:r>
      <w:r w:rsidR="000D3047">
        <w:t>an observation of events such as</w:t>
      </w:r>
      <w:r w:rsidR="00280BAC">
        <w:t xml:space="preserve"> the Vietnam war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low</w:t>
      </w:r>
      <w:r w:rsidR="00EF3C7D">
        <w:t xml:space="preserve"> is</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8E54AE">
        <w:instrText xml:space="preserve"> ADDIN ZOTERO_ITEM CSL_CITATION {"citationID":"Klj221r7","properties":{"formattedCitation":"(Youth Voter Participation: Involving Today\\uc0\\u8217{}s Young in Tomorrow\\uc0\\u8217{}s Democracy | International IDEA n.d.)","plainCitation":"(Youth Voter Participation: Involving Today’s Young in Tomorrow’s Democracy | International IDEA n.d.)","noteIndex":0},"citationItems":[{"id":282,"uris":["http://zotero.org/users/5939705/items/S9Y5CARB"],"uri":["http://zotero.org/users/5939705/items/S9Y5CARB"],"itemData":{"id":282,"type":"webpage","title":"Youth Voter Participation: Involving Today's Young in Tomorrow's Democracy | International IDEA","URL":"https://www.idea.int/publications/catalogue/youth-voter-participation-involving-todays-young-tomorrows-democracy","accessed":{"date-parts":[["2020",1,8]]}}}],"schema":"https://github.com/citation-style-language/schema/raw/master/csl-citation.json"} </w:instrText>
      </w:r>
      <w:r w:rsidR="00655DAE">
        <w:fldChar w:fldCharType="separate"/>
      </w:r>
      <w:r w:rsidR="008E54AE" w:rsidRPr="008E54AE">
        <w:rPr>
          <w:rFonts w:ascii="Calibri" w:hAnsi="Calibri" w:cs="Calibri"/>
          <w:szCs w:val="24"/>
        </w:rPr>
        <w:t>(Youth Voter Participation: Involving Today’s Young in Tomorrow’s Democracy | International IDEA n.d.)</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668FF4A5"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AB3EDD">
        <w:instrText xml:space="preserve"> ADDIN ZOTERO_ITEM CSL_CITATION {"citationID":"lw7vPi2p","properties":{"formattedCitation":"(Students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F061E0">
        <w:fldChar w:fldCharType="separate"/>
      </w:r>
      <w:r w:rsidR="00AB3EDD" w:rsidRPr="00AB3EDD">
        <w:rPr>
          <w:rFonts w:ascii="Calibri" w:hAnsi="Calibri" w:cs="Calibri"/>
        </w:rPr>
        <w:t>(Students - Tertiary graduates by field - OECD Data n.d.)</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DA5B44">
        <w:t xml:space="preserve"> </w:t>
      </w:r>
      <w:r w:rsidR="00F44703">
        <w:t xml:space="preserve">I believe that while the technical expertise first stage mechanism remains in place, the argument for an exclusion restriction between the </w:t>
      </w:r>
      <w:proofErr w:type="gramStart"/>
      <w:r w:rsidR="00F44703">
        <w:t>amount</w:t>
      </w:r>
      <w:proofErr w:type="gramEnd"/>
      <w:r w:rsidR="00F44703">
        <w:t xml:space="preserve"> of graduates in these fields and </w:t>
      </w:r>
      <w:r w:rsidR="005B12FD">
        <w:t>electoral instability is</w:t>
      </w:r>
      <w:r w:rsidR="00D01A50">
        <w:t xml:space="preserve"> stronger.</w:t>
      </w:r>
      <w:r w:rsidR="00D02B73">
        <w:t xml:space="preserve"> </w:t>
      </w:r>
    </w:p>
    <w:p w14:paraId="64E078E3" w14:textId="07EB7CF8" w:rsidR="001904BA" w:rsidRPr="00DD6CED" w:rsidRDefault="001904BA" w:rsidP="002F28E1">
      <w:pPr>
        <w:rPr>
          <w:strike/>
        </w:rPr>
      </w:pPr>
      <w:r>
        <w:t xml:space="preserve">The adaptation of an instrument for fixed exchange rates is somewhat more challenging. One good predictor of exchange rate regimes is inflation </w:t>
      </w:r>
      <w:r>
        <w:fldChar w:fldCharType="begin"/>
      </w:r>
      <w:r>
        <w:instrText xml:space="preserve"> ADDIN ZOTERO_ITEM CSL_CITATION {"citationID":"xVcjPcHF","properties":{"formattedCitation":"(Mauro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fldChar w:fldCharType="separate"/>
      </w:r>
      <w:r w:rsidRPr="008974D8">
        <w:rPr>
          <w:rFonts w:ascii="Calibri" w:hAnsi="Calibri" w:cs="Calibri"/>
        </w:rPr>
        <w:t>(Mauro and Juhn 2002)</w:t>
      </w:r>
      <w:r>
        <w:fldChar w:fldCharType="end"/>
      </w:r>
      <w:r>
        <w:t>, but here we run into a clear endogeneity problem. Fixed rates probably allow for lower inflation through solution of the time inconsistency problem.</w:t>
      </w:r>
      <w:r w:rsidR="00E93825">
        <w:t xml:space="preserve"> Other candidates may be </w:t>
      </w:r>
      <w:r w:rsidR="003B0DE4">
        <w:t xml:space="preserve">a nation’s level of development, trading share with </w:t>
      </w:r>
      <w:r w:rsidR="003B0DE4">
        <w:lastRenderedPageBreak/>
        <w:t>primary partners, terms of trade volatility, and various capital mobility indicators</w:t>
      </w:r>
      <w:r w:rsidR="00F41F7E">
        <w:t xml:space="preserve">, but relationships appear to be unclear and disputed </w:t>
      </w:r>
      <w:r w:rsidR="004443A2">
        <w:t>in the data.</w:t>
      </w:r>
      <w:r w:rsidR="00DD6CED">
        <w:t xml:space="preserve"> </w:t>
      </w:r>
      <w:r w:rsidR="00DD6CED" w:rsidRPr="00DD6CED">
        <w:t>Openness</w:t>
      </w:r>
      <w:r w:rsidR="00DD6CED">
        <w:t xml:space="preserve"> to trade may be a good predictor with additional</w:t>
      </w:r>
      <w:r w:rsidR="00DD6CED" w:rsidRPr="00DD6CED">
        <w:t xml:space="preserve"> </w:t>
      </w:r>
      <w:r w:rsidR="00DD6CED">
        <w:t>IVs of</w:t>
      </w:r>
      <w:r w:rsidR="00DD6CED" w:rsidRPr="00DD6CED">
        <w:t xml:space="preserve"> land area and </w:t>
      </w:r>
      <w:r w:rsidR="00DD6CED">
        <w:t xml:space="preserve">status as a </w:t>
      </w:r>
      <w:r w:rsidR="00DD6CED" w:rsidRPr="00DD6CED">
        <w:t>landlocked</w:t>
      </w:r>
      <w:r w:rsidR="00DD6CED">
        <w:t xml:space="preserve"> nation</w:t>
      </w:r>
      <w:r w:rsidR="0074033A">
        <w:t>, but this variable already serves as an interaction term and precondition for the entire theory.</w:t>
      </w:r>
    </w:p>
    <w:p w14:paraId="4E31E12C" w14:textId="015DB39B" w:rsidR="002527DB" w:rsidRDefault="000746FF" w:rsidP="002F28E1">
      <w:r>
        <w:t xml:space="preserve">As a solution, </w:t>
      </w:r>
      <w:r w:rsidR="008F63EC">
        <w:t xml:space="preserve">I adopt </w:t>
      </w:r>
      <w:r w:rsidR="008C08F8">
        <w:t xml:space="preserve">what </w:t>
      </w:r>
      <w:proofErr w:type="gramStart"/>
      <w:r w:rsidR="008C08F8">
        <w:t>is considered to be</w:t>
      </w:r>
      <w:proofErr w:type="gramEnd"/>
      <w:r w:rsidR="008C08F8">
        <w:t xml:space="preserve"> 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FE6AAB">
        <w:t xml:space="preserve"> </w:t>
      </w:r>
      <w:r w:rsidR="00FE6AAB">
        <w:fldChar w:fldCharType="begin"/>
      </w:r>
      <w:r w:rsidR="00FE6AAB">
        <w:instrText xml:space="preserve"> ADDIN ZOTERO_ITEM CSL_CITATION {"citationID":"jbdPJzOi","properties":{"formattedCitation":"(Mauro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00FE6AAB">
        <w:fldChar w:fldCharType="separate"/>
      </w:r>
      <w:r w:rsidR="00FE6AAB" w:rsidRPr="00237658">
        <w:rPr>
          <w:rFonts w:ascii="Calibri" w:hAnsi="Calibri" w:cs="Calibri"/>
        </w:rPr>
        <w:t>(Mauro and Juhn 2002)</w:t>
      </w:r>
      <w:r w:rsidR="00FE6AAB">
        <w:fldChar w:fldCharType="end"/>
      </w:r>
      <w:r w:rsidR="00BF565B">
        <w:t>.</w:t>
      </w:r>
      <w:r w:rsidR="0065745D">
        <w:t xml:space="preserve"> The explanation comes from optimum currency area literature.</w:t>
      </w:r>
      <w:r w:rsidR="003702C4">
        <w:t xml:space="preserve"> For these nations, the importance of a stable currency for trade </w:t>
      </w:r>
      <w:r w:rsidR="00F82458">
        <w:t>is less important relative to the ability to control their own</w:t>
      </w:r>
      <w:r w:rsidR="00FE6AAB">
        <w:t xml:space="preserve"> large</w:t>
      </w:r>
      <w:r w:rsidR="00F82458">
        <w:t xml:space="preserve"> </w:t>
      </w:r>
      <w:r w:rsidR="00FE6AAB">
        <w:t xml:space="preserve">domestic </w:t>
      </w:r>
      <w:r w:rsidR="002D22D1">
        <w:t>economy through monetary policy</w:t>
      </w:r>
      <w:r w:rsidR="004610EF">
        <w:t>- reliance on external nations is minimal.</w:t>
      </w:r>
      <w:r w:rsidR="00FE6AAB">
        <w:t xml:space="preserve"> </w:t>
      </w:r>
      <w:r w:rsidR="00BF565B">
        <w:t>The exclusion restriction for large economies is certainly not perfect</w:t>
      </w:r>
      <w:r w:rsidR="00641904">
        <w:t>, but</w:t>
      </w:r>
      <w:r w:rsidR="00FE6AAB">
        <w:t xml:space="preserve"> it should at least be noted that econom</w:t>
      </w:r>
      <w:r w:rsidR="00751847">
        <w:t xml:space="preserve">ic size </w:t>
      </w:r>
      <w:r w:rsidR="00AC7713">
        <w:t>escapes any explanations for instability or turnover based purely on levels of economic development</w:t>
      </w:r>
      <w:r w:rsidR="002D0AD3">
        <w:t>; here we do not use per capita values</w:t>
      </w:r>
      <w:r w:rsidR="00AC7713">
        <w:t>.</w:t>
      </w:r>
    </w:p>
    <w:p w14:paraId="4783C89D" w14:textId="034C39EE" w:rsidR="00B85767" w:rsidRDefault="00B21C9D" w:rsidP="00AC1ECD">
      <w:pPr>
        <w:pStyle w:val="Heading1"/>
      </w:pPr>
      <w:r>
        <w:t>Data</w:t>
      </w:r>
    </w:p>
    <w:p w14:paraId="5313F0C1" w14:textId="3A1AB32C" w:rsidR="00855A88" w:rsidRDefault="00855A88" w:rsidP="005268EB">
      <w:pPr>
        <w:pStyle w:val="Heading2"/>
      </w:pPr>
      <w:r>
        <w:t>Dependent Variables</w:t>
      </w:r>
    </w:p>
    <w:p w14:paraId="026C498E" w14:textId="37E629C9" w:rsidR="007C2AC5" w:rsidRDefault="007C2AC5" w:rsidP="00855A88">
      <w:r w:rsidRPr="00375137">
        <w:rPr>
          <w:highlight w:val="yellow"/>
        </w:rPr>
        <w:t xml:space="preserve">Discuss reliability and </w:t>
      </w:r>
      <w:r w:rsidR="00375137" w:rsidRPr="00375137">
        <w:rPr>
          <w:highlight w:val="yellow"/>
        </w:rPr>
        <w:t>validity of sources for pol instability</w:t>
      </w:r>
    </w:p>
    <w:p w14:paraId="6A1CAAAA" w14:textId="57232AB2" w:rsidR="00C24DC6" w:rsidRDefault="00C41D65" w:rsidP="00855A88">
      <w:r>
        <w:t xml:space="preserve">I obtain data on most of my </w:t>
      </w:r>
      <w:r w:rsidR="00D26D7C">
        <w:t>dependent</w:t>
      </w:r>
      <w:r>
        <w:t xml:space="preserve"> variables from the compiled Varieties of Democracy Dataset </w:t>
      </w:r>
      <w:r>
        <w:fldChar w:fldCharType="begin"/>
      </w:r>
      <w:r>
        <w:instrText xml:space="preserve"> ADDIN ZOTERO_ITEM CSL_CITATION {"citationID":"N9lG2JFX","properties":{"formattedCitation":"(Michael Coppedge et al. 2020)","plainCitation":"(Michael Coppedge et al. 2020)","noteIndex":0},"citationItems":[{"id":567,"uris":["http://zotero.org/users/5939705/items/GZ2TDTHT"],"uri":["http://zotero.org/users/5939705/items/GZ2TDTHT"],"itemData":{"id":567,"type":"webpage","container-title":"Varieties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fldChar w:fldCharType="separate"/>
      </w:r>
      <w:r w:rsidRPr="003A76B4">
        <w:rPr>
          <w:rFonts w:ascii="Calibri" w:hAnsi="Calibri" w:cs="Calibri"/>
        </w:rPr>
        <w:t>(Michael Coppedge et al. 2020)</w:t>
      </w:r>
      <w:r>
        <w:fldChar w:fldCharType="end"/>
      </w:r>
      <w:r>
        <w:t xml:space="preserve">. V-Dem contains hundreds of variables, including </w:t>
      </w:r>
      <w:r w:rsidR="00B35C7B">
        <w:t xml:space="preserve">numerous ones useful for the </w:t>
      </w:r>
      <w:r w:rsidR="001F2794">
        <w:t xml:space="preserve">noting electoral and political </w:t>
      </w:r>
      <w:r w:rsidR="002F04E6">
        <w:t>instability</w:t>
      </w:r>
      <w:r w:rsidR="001F2794">
        <w:t xml:space="preserve"> </w:t>
      </w:r>
      <w:r w:rsidR="002F04E6">
        <w:t>of various degree</w:t>
      </w:r>
      <w:r w:rsidR="00B5631F">
        <w:t>s and the tracking of institutional characteristics.</w:t>
      </w:r>
    </w:p>
    <w:p w14:paraId="491EFAA0" w14:textId="2E47031C" w:rsidR="00553804" w:rsidRDefault="003146E7" w:rsidP="00855A88">
      <w:r>
        <w:t xml:space="preserve">The most important </w:t>
      </w:r>
      <w:r w:rsidR="00ED532F">
        <w:t xml:space="preserve">dependent variables I make use of are V-Dem’s </w:t>
      </w:r>
      <w:r w:rsidR="0062732D">
        <w:t xml:space="preserve">event variables for changes in the </w:t>
      </w:r>
      <w:r w:rsidR="00984EBB">
        <w:t xml:space="preserve">head of </w:t>
      </w:r>
      <w:r w:rsidR="00EE147D">
        <w:t>government</w:t>
      </w:r>
      <w:r w:rsidR="00984EBB">
        <w:t xml:space="preserve">, head of </w:t>
      </w:r>
      <w:r w:rsidR="00EE147D">
        <w:t>state</w:t>
      </w:r>
      <w:r w:rsidR="00984EBB">
        <w:t xml:space="preserve">, and control of the lower chamber of the legislature for a country </w:t>
      </w:r>
      <w:r w:rsidR="00D97FA3">
        <w:t>in each election year</w:t>
      </w:r>
      <w:r w:rsidR="00984EBB">
        <w:t>.</w:t>
      </w:r>
      <w:r w:rsidR="00A31B1B">
        <w:t xml:space="preserve"> </w:t>
      </w:r>
      <w:r w:rsidR="00984EBB">
        <w:t>This allows</w:t>
      </w:r>
      <w:r w:rsidR="00AE1507">
        <w:t xml:space="preserve"> for an event-based analysis of turnover</w:t>
      </w:r>
      <w:r w:rsidR="006E21D6">
        <w:t xml:space="preserve"> (probabilities) </w:t>
      </w:r>
      <w:r w:rsidR="001E28F6">
        <w:t>with varying levels of central bank independence and fixe</w:t>
      </w:r>
      <w:r w:rsidR="001A771F">
        <w:t>d rates</w:t>
      </w:r>
      <w:r w:rsidR="00AE1507">
        <w:t>.</w:t>
      </w:r>
      <w:r w:rsidR="00EE147D">
        <w:t xml:space="preserve"> For the head of government and head of state</w:t>
      </w:r>
      <w:r w:rsidR="00850233">
        <w:t xml:space="preserve"> variables, </w:t>
      </w:r>
      <w:r w:rsidR="00035004">
        <w:t xml:space="preserve">a coding of 0 indicates the same individual, </w:t>
      </w:r>
      <w:r w:rsidR="001871B8">
        <w:t>a coding of 1 represents a different individual but of the same party</w:t>
      </w:r>
      <w:r w:rsidR="00DE2000">
        <w:t xml:space="preserve">, and </w:t>
      </w:r>
      <w:r w:rsidR="004465A2">
        <w:t>a coding of 2 indicates a change of individual and party.</w:t>
      </w:r>
      <w:r w:rsidR="00ED5933">
        <w:t xml:space="preserve"> In parliamentary systems, changes </w:t>
      </w:r>
      <w:r w:rsidR="00B66CA1">
        <w:t>with</w:t>
      </w:r>
      <w:r w:rsidR="00ED5933">
        <w:t xml:space="preserve">in coalitions </w:t>
      </w:r>
      <w:r w:rsidR="00B66CA1">
        <w:t>are coded as 1</w:t>
      </w:r>
      <w:r w:rsidR="00EA4FEC">
        <w:t xml:space="preserve">, and new party rule is </w:t>
      </w:r>
      <w:r w:rsidR="00822198">
        <w:t>coded as a 2.</w:t>
      </w:r>
      <w:r w:rsidR="00E1316D">
        <w:t xml:space="preserve"> For the lower chamber variable</w:t>
      </w:r>
      <w:r w:rsidR="00D1059A">
        <w:t xml:space="preserve">, a coding of 0 indicates a majority comprised of the same parties, a coding of 1 </w:t>
      </w:r>
      <w:r w:rsidR="008334B8">
        <w:t xml:space="preserve">indicates the assumption of </w:t>
      </w:r>
      <w:r w:rsidR="004810C7">
        <w:t xml:space="preserve">a minority party or change of leadership in the same coalition or in a coalition with some </w:t>
      </w:r>
      <w:r w:rsidR="0097515C">
        <w:t xml:space="preserve">new and old parties, </w:t>
      </w:r>
      <w:r w:rsidR="00CC0976">
        <w:t>and a coding of 2 indicates a loss of a majority or plurality dominant position.</w:t>
      </w:r>
    </w:p>
    <w:p w14:paraId="7E723E44" w14:textId="4FE5E054" w:rsidR="00551377" w:rsidRDefault="00855A88" w:rsidP="00855A88">
      <w:r>
        <w:t>For more profound political instability</w:t>
      </w:r>
      <w:r w:rsidR="00F003F6">
        <w:t xml:space="preserve">, I make use of </w:t>
      </w:r>
      <w:r w:rsidR="00551377">
        <w:t>V-dem</w:t>
      </w:r>
      <w:r w:rsidR="00F003F6">
        <w:t>’s event variables for</w:t>
      </w:r>
      <w:r w:rsidR="00551377">
        <w:t xml:space="preserve"> </w:t>
      </w:r>
      <w:r w:rsidR="00E4700F">
        <w:t xml:space="preserve">attempted </w:t>
      </w:r>
      <w:r w:rsidR="00551377">
        <w:t>coups, civil war</w:t>
      </w:r>
      <w:r w:rsidR="00F003F6">
        <w:t>s</w:t>
      </w:r>
      <w:r w:rsidR="00551377">
        <w:t xml:space="preserve">, </w:t>
      </w:r>
      <w:r w:rsidR="00F003F6">
        <w:t xml:space="preserve">and </w:t>
      </w:r>
      <w:r w:rsidR="00551377">
        <w:t>internal conflict</w:t>
      </w:r>
      <w:r w:rsidR="00F003F6">
        <w:t>.</w:t>
      </w:r>
      <w:r w:rsidR="00A50275">
        <w:t xml:space="preserve"> For the simplification of regressions, I combine these variables into a single binary </w:t>
      </w:r>
      <w:r w:rsidR="00E67058">
        <w:t xml:space="preserve">variable </w:t>
      </w:r>
      <w:r w:rsidR="00A50275">
        <w:t xml:space="preserve">representing </w:t>
      </w:r>
      <w:r w:rsidR="008842C0">
        <w:t>the fact that one of these events happened in a year</w:t>
      </w:r>
      <w:r w:rsidR="00253633">
        <w:t xml:space="preserve"> (a coding of 1 versus 0)</w:t>
      </w:r>
      <w:r w:rsidR="008842C0">
        <w:t>.</w:t>
      </w:r>
      <w:r w:rsidR="00E20630">
        <w:t xml:space="preserve"> Like most of the V-Dem variables, they are available for a wide variety of countries and years, representing thousands of individual observations.</w:t>
      </w:r>
    </w:p>
    <w:p w14:paraId="2D587288" w14:textId="2CCD63CC" w:rsidR="00855A88" w:rsidRDefault="00855A88" w:rsidP="00855A88">
      <w:r w:rsidRPr="00A76B58">
        <w:t>Finally,</w:t>
      </w:r>
      <w:r w:rsidR="00E97369" w:rsidRPr="00A76B58">
        <w:t xml:space="preserve"> for an idea of the overall perception of political instability and violence</w:t>
      </w:r>
      <w:r w:rsidR="00A76B58" w:rsidRPr="00A76B58">
        <w:t xml:space="preserve"> without a breakdown into components</w:t>
      </w:r>
      <w:r w:rsidR="0070480F">
        <w:t xml:space="preserve"> over a more continuous scale</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Pr="00A76B58">
        <w:fldChar w:fldCharType="begin"/>
      </w:r>
      <w:r w:rsidRPr="00A76B58">
        <w:instrText xml:space="preserve"> ADDIN ZOTERO_ITEM CSL_CITATION {"citationID":"BRMuWQ2z","properties":{"formattedCitation":"(WGI 2019 Interactive &gt; Home n.d.)","plainCitation":"(WGI 2019 Interactive &gt; Home n.d.)","noteIndex":0},"citationItems":[{"id":281,"uris":["http://zotero.org/users/5939705/items/EA336RNM"],"uri":["http://zotero.org/users/5939705/items/EA336RNM"],"itemData":{"id":281,"type":"webpage","title":"WGI 2019 Interactive &gt; Home","URL":"https://info.worldbank.org/governance/wgi/","accessed":{"date-parts":[["2020",1,7]]}}}],"schema":"https://github.com/citation-style-language/schema/raw/master/csl-citation.json"} </w:instrText>
      </w:r>
      <w:r w:rsidRPr="00A76B58">
        <w:fldChar w:fldCharType="separate"/>
      </w:r>
      <w:r w:rsidRPr="00A76B58">
        <w:rPr>
          <w:rFonts w:ascii="Calibri" w:hAnsi="Calibri" w:cs="Calibri"/>
        </w:rPr>
        <w:t>(WGI 2019 Interactive &gt; Home n.d.)</w:t>
      </w:r>
      <w:r w:rsidRPr="00A76B58">
        <w:fldChar w:fldCharType="end"/>
      </w:r>
      <w:r w:rsidRPr="00A76B58">
        <w:t>.</w:t>
      </w:r>
      <w:r w:rsidR="00E97369" w:rsidRPr="00A76B58">
        <w:t xml:space="preserve"> The variable </w:t>
      </w:r>
      <w:r w:rsidR="00EB6777" w:rsidRPr="00A76B58">
        <w:t>PV.EST follows a standard normal distribution.</w:t>
      </w:r>
      <w:r w:rsidR="001D18A1">
        <w:t xml:space="preserve"> Lower values represent lower </w:t>
      </w:r>
      <w:r w:rsidR="003F4580">
        <w:t xml:space="preserve">values for good governance variables- in this case, </w:t>
      </w:r>
      <w:r w:rsidR="008C1D41">
        <w:t xml:space="preserve">a lower value means more political instability. </w:t>
      </w:r>
      <w:r w:rsidR="001D18A1">
        <w:t>The index ranges from about -2.5 to 2.5.</w:t>
      </w:r>
    </w:p>
    <w:p w14:paraId="3E516641" w14:textId="2A37B953" w:rsidR="006616B3" w:rsidRPr="00FC143B" w:rsidRDefault="005268EB" w:rsidP="00FC143B">
      <w:pPr>
        <w:pStyle w:val="Heading2"/>
      </w:pPr>
      <w:r>
        <w:lastRenderedPageBreak/>
        <w:t>Independent Variables</w:t>
      </w:r>
    </w:p>
    <w:p w14:paraId="7A40AED3" w14:textId="2B854B53" w:rsidR="00930DBE" w:rsidRDefault="00930DBE" w:rsidP="002F28E1">
      <w:r w:rsidRPr="00031C61">
        <w:rPr>
          <w:highlight w:val="yellow"/>
        </w:rPr>
        <w:t>Explain reasoning behind choice of data sources</w:t>
      </w:r>
    </w:p>
    <w:p w14:paraId="18CA7602" w14:textId="5816B593" w:rsidR="00D24E08" w:rsidRDefault="00D24E08" w:rsidP="002F28E1">
      <w:r>
        <w:t>To measure Central Bank Independence</w:t>
      </w:r>
      <w:r w:rsidR="008C46EA">
        <w:t xml:space="preserve"> I use the components of the Cukierman</w:t>
      </w:r>
      <w:r w:rsidR="0011635B">
        <w:t xml:space="preserve">, Webb, and </w:t>
      </w:r>
      <w:proofErr w:type="spellStart"/>
      <w:r w:rsidR="0011635B">
        <w:t>N</w:t>
      </w:r>
      <w:r w:rsidR="006611B8">
        <w:t>eyapt</w:t>
      </w:r>
      <w:r w:rsidR="007F139D">
        <w:t>i</w:t>
      </w:r>
      <w:proofErr w:type="spellEnd"/>
      <w:r w:rsidR="006611B8">
        <w:t xml:space="preserve"> </w:t>
      </w:r>
      <w:r w:rsidR="0014482B">
        <w:fldChar w:fldCharType="begin"/>
      </w:r>
      <w:r w:rsidR="00974744">
        <w:instrText xml:space="preserve"> ADDIN ZOTERO_ITEM CSL_CITATION {"citationID":"0xc2x3eX","properties":{"formattedCitation":"(Cukierman,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w:t>
      </w:r>
      <w:proofErr w:type="spellStart"/>
      <w:r w:rsidR="00A81881">
        <w:t>Garriga</w:t>
      </w:r>
      <w:proofErr w:type="spellEnd"/>
      <w:r w:rsidR="00A81881">
        <w:t xml:space="preserve"> </w:t>
      </w:r>
      <w:r w:rsidR="00A81881" w:rsidRPr="00A81881">
        <w:rPr>
          <w:rStyle w:val="Hyperlink"/>
          <w:color w:val="auto"/>
          <w:u w:val="none"/>
        </w:rPr>
        <w:fldChar w:fldCharType="begin"/>
      </w:r>
      <w:r w:rsidR="00A81881" w:rsidRPr="00A81881">
        <w:rPr>
          <w:rStyle w:val="Hyperlink"/>
          <w:color w:val="auto"/>
          <w:u w:val="none"/>
        </w:rPr>
        <w:instrText xml:space="preserve"> ADDIN ZOTERO_ITEM CSL_CITATION {"citationID":"xETl2lhE","properties":{"formattedCitation":"(Garriga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w:t>
      </w:r>
      <w:proofErr w:type="spellStart"/>
      <w:r w:rsidR="00A81881" w:rsidRPr="00A81881">
        <w:rPr>
          <w:rFonts w:ascii="Calibri" w:hAnsi="Calibri" w:cs="Calibri"/>
        </w:rPr>
        <w:t>Garriga</w:t>
      </w:r>
      <w:proofErr w:type="spellEnd"/>
      <w:r w:rsidR="00A81881" w:rsidRPr="00A81881">
        <w:rPr>
          <w:rFonts w:ascii="Calibri" w:hAnsi="Calibri" w:cs="Calibri"/>
        </w:rPr>
        <w:t xml:space="preserve"> 2016)</w:t>
      </w:r>
      <w:r w:rsidR="00A81881" w:rsidRPr="00A81881">
        <w:rPr>
          <w:rStyle w:val="Hyperlink"/>
          <w:color w:val="auto"/>
          <w:u w:val="none"/>
        </w:rPr>
        <w:fldChar w:fldCharType="end"/>
      </w:r>
      <w:r w:rsidR="00A81881">
        <w:rPr>
          <w:rStyle w:val="Hyperlink"/>
          <w:color w:val="auto"/>
          <w:u w:val="none"/>
        </w:rPr>
        <w:t>.</w:t>
      </w:r>
      <w:r w:rsidR="009E47FC">
        <w:rPr>
          <w:rStyle w:val="Hyperlink"/>
          <w:color w:val="auto"/>
          <w:u w:val="none"/>
        </w:rPr>
        <w:t xml:space="preserve"> </w:t>
      </w:r>
      <w:r w:rsidR="005C026F">
        <w:t>This gives a good sense of the statutory or de jure central bank independence p</w:t>
      </w:r>
      <w:r w:rsidR="00C74E8E">
        <w:t>articularly relevant in democracies</w:t>
      </w:r>
      <w:r w:rsidR="002E32EF">
        <w:t xml:space="preserve"> 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proofErr w:type="spellStart"/>
      <w:r w:rsidR="00BE41B4">
        <w:t>Garriga</w:t>
      </w:r>
      <w:proofErr w:type="spellEnd"/>
      <w:r w:rsidR="009E47FC">
        <w:t xml:space="preserve"> provides data from 1970-2012 for 187 countries.</w:t>
      </w:r>
    </w:p>
    <w:p w14:paraId="263205FF" w14:textId="77777777" w:rsidR="00DA0701" w:rsidRDefault="00E76D74" w:rsidP="002F28E1">
      <w:r>
        <w:t>Measures of de facto central bank independence allow for robustness</w:t>
      </w:r>
      <w:r w:rsidR="00E903A3">
        <w:t xml:space="preserve"> checks and the testing of different theoretical predictions in autocracies. One c</w:t>
      </w:r>
      <w:r w:rsidR="008C73C5">
        <w:t xml:space="preserve">ommon index more concerned with de facto independence is that developed by </w:t>
      </w:r>
      <w:proofErr w:type="spellStart"/>
      <w:r w:rsidR="00F84611">
        <w:t>Grilli</w:t>
      </w:r>
      <w:proofErr w:type="spellEnd"/>
      <w:r w:rsidR="005F5992">
        <w:t xml:space="preserve"> et al</w:t>
      </w:r>
      <w:r w:rsidR="00B546E6">
        <w:t>, which focuses largely around governor appointment terms and practices</w:t>
      </w:r>
      <w:r w:rsidR="003E557B">
        <w:t xml:space="preserve"> </w:t>
      </w:r>
      <w:r w:rsidR="00F84611">
        <w:fldChar w:fldCharType="begin"/>
      </w:r>
      <w:r w:rsidR="003E557B">
        <w:instrText xml:space="preserve"> ADDIN ZOTERO_ITEM CSL_CITATION {"citationID":"2r1oWYKz","properties":{"formattedCitation":"(Grilli et al. 1991)","plainCitation":"(Grilli et al. 1991)","noteIndex":0},"citationItems":[{"id":521,"uris":["http://zotero.org/users/5939705/items/X2WA75K8"],"uri":["http://zotero.org/users/5939705/items/X2WA75K8"],"itemData":{"id":521,"type":"article-journal","abstract":"Why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F84611">
        <w:fldChar w:fldCharType="separate"/>
      </w:r>
      <w:r w:rsidR="003E557B" w:rsidRPr="003E557B">
        <w:rPr>
          <w:rFonts w:ascii="Calibri" w:hAnsi="Calibri" w:cs="Calibri"/>
        </w:rPr>
        <w:t>(Grilli et al. 1991)</w:t>
      </w:r>
      <w:r w:rsidR="00F84611">
        <w:fldChar w:fldCharType="end"/>
      </w:r>
      <w:r w:rsidR="003E557B">
        <w:t>.</w:t>
      </w:r>
      <w:r w:rsidR="00B546E6">
        <w:t xml:space="preserve"> </w:t>
      </w:r>
      <w:r w:rsidR="002A57E9">
        <w:t xml:space="preserve">Recent work has updated the </w:t>
      </w:r>
      <w:r w:rsidR="002A57E9" w:rsidRPr="00751F4D">
        <w:t xml:space="preserve">index for at least 50 countries, including many developing nations </w:t>
      </w:r>
      <w:r w:rsidR="00E854E1" w:rsidRPr="00751F4D">
        <w:t>from 1974-2</w:t>
      </w:r>
      <w:r w:rsidR="003C2683" w:rsidRPr="00751F4D">
        <w:t xml:space="preserve">014 </w:t>
      </w:r>
      <w:r w:rsidR="00157659" w:rsidRPr="00751F4D">
        <w:fldChar w:fldCharType="begin"/>
      </w:r>
      <w:r w:rsidR="002A23EA" w:rsidRPr="00751F4D">
        <w:instrText xml:space="preserve"> ADDIN ZOTERO_ITEM CSL_CITATION {"citationID":"lqu8itXu","properties":{"formattedCitation":"(Romelli n.d.)","plainCitation":"(Romelli n.d.)","noteIndex":0},"citationItems":[{"id":520,"uris":["http://zotero.org/users/5939705/items/DIA3QZZ9"],"uri":["http://zotero.org/users/5939705/items/DIA3QZZ9"],"itemData":{"id":520,"type":"article-journal","abstract":"This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independence","author":[{"family":"Romelli","given":"Davide"}]}}],"schema":"https://github.com/citation-style-language/schema/raw/master/csl-citation.json"} </w:instrText>
      </w:r>
      <w:r w:rsidR="00157659" w:rsidRPr="00751F4D">
        <w:fldChar w:fldCharType="separate"/>
      </w:r>
      <w:r w:rsidR="002A23EA" w:rsidRPr="00751F4D">
        <w:rPr>
          <w:rFonts w:ascii="Calibri" w:hAnsi="Calibri" w:cs="Calibri"/>
        </w:rPr>
        <w:t>(Romelli n.d.)</w:t>
      </w:r>
      <w:r w:rsidR="00157659" w:rsidRPr="00751F4D">
        <w:fldChar w:fldCharType="end"/>
      </w:r>
      <w:r w:rsidR="003C2683" w:rsidRPr="00751F4D">
        <w:t>.</w:t>
      </w:r>
      <w:r w:rsidR="00751F4D" w:rsidRPr="00751F4D">
        <w:t xml:space="preserve"> </w:t>
      </w:r>
    </w:p>
    <w:p w14:paraId="6E61A779" w14:textId="477221C6" w:rsidR="00DA13FC" w:rsidRPr="00D975A1" w:rsidRDefault="00F378AC" w:rsidP="00C8108F">
      <w:r w:rsidRPr="00751F4D">
        <w:t xml:space="preserve">Another de facto measure with a good fit for inflation in developing countries is that of </w:t>
      </w:r>
      <w:r w:rsidR="007A3E12" w:rsidRPr="00751F4D">
        <w:t>turnover rates for central bank governors</w:t>
      </w:r>
      <w:r w:rsidR="00B72354" w:rsidRPr="00751F4D">
        <w:t xml:space="preserve"> </w:t>
      </w:r>
      <w:r w:rsidR="007A3E12" w:rsidRPr="00751F4D">
        <w:fldChar w:fldCharType="begin"/>
      </w:r>
      <w:r w:rsidR="00B72354" w:rsidRPr="00751F4D">
        <w:instrText xml:space="preserve"> ADDIN ZOTERO_ITEM CSL_CITATION {"citationID":"HwEhE2lH","properties":{"formattedCitation":"(Cukierman,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E313B5">
        <w:t>.</w:t>
      </w:r>
      <w:r w:rsidR="00D975A1">
        <w:t xml:space="preserve"> Dreher et al. compile information</w:t>
      </w:r>
      <w:r w:rsidR="001555FB">
        <w:t xml:space="preserve"> on changes in central bank governors</w:t>
      </w:r>
      <w:r w:rsidR="00D975A1">
        <w:t xml:space="preserve"> for a</w:t>
      </w:r>
      <w:r w:rsidR="00AD6C30">
        <w:t>lmost all countries in the world from 1970</w:t>
      </w:r>
      <w:r w:rsidR="00D975A1">
        <w:t xml:space="preserve"> </w:t>
      </w:r>
      <w:r w:rsidR="00DA13FC">
        <w:rPr>
          <w:rFonts w:ascii="Calibri" w:hAnsi="Calibri" w:cs="Calibri"/>
        </w:rPr>
        <w:fldChar w:fldCharType="begin"/>
      </w:r>
      <w:r w:rsidR="00C21615">
        <w:rPr>
          <w:rFonts w:ascii="Calibri" w:hAnsi="Calibri" w:cs="Calibri"/>
        </w:rPr>
        <w:instrText xml:space="preserve"> ADDIN ZOTERO_ITEM CSL_CITATION {"citationID":"ZVj6Ak3A","properties":{"formattedCitation":"(Dreher, Sturm, and Haan 2010)","plainCitation":"(Dreher, Sturm, and Haan 2010)","noteIndex":0},"citationItems":[{"id":565,"uris":["http://zotero.org/users/5939705/items/N75GJEZH"],"uri":["http://zotero.org/users/5939705/items/N75GJEZH"],"itemData":{"id":565,"type":"article-journal","abstract":"Using new data on the term in office of central bank governors for a large set of countries for 1970–2005, we estimate a model for the probability that a central bank governor is replaced before the end of his legal term in office. We formulate hypotheses based on the literature on the determinants of central bank independence that are tested using conditional logit models and the robustness approach of Sala-i-Martin (1997). We conclude that, apart from the share of the legal term in office that has elapsed, political and regime instability, the occurrence of elections, and the ratio of private credit to GDP increase the probability of a turnover.","container-title":"Journal of Macroeconomics","DOI":"10.1016/j.jmacro.2010.04.001","ISSN":"0164-0704","issue":"3","journalAbbreviation":"Journal of Macroeconomics","language":"en","page":"766-781","source":"ScienceDirect","title":"When is a central bank governor replaced? Evidence based on a new data set","title-short":"When is a central bank governor replaced?","volume":"32","author":[{"family":"Dreher","given":"Axel"},{"family":"Sturm","given":"Jan-Egbert"},{"family":"Haan","given":"Jakob","dropping-particle":"de"}],"issued":{"date-parts":[["2010",9,1]]}}}],"schema":"https://github.com/citation-style-language/schema/raw/master/csl-citation.json"} </w:instrText>
      </w:r>
      <w:r w:rsidR="00DA13FC">
        <w:rPr>
          <w:rFonts w:ascii="Calibri" w:hAnsi="Calibri" w:cs="Calibri"/>
        </w:rPr>
        <w:fldChar w:fldCharType="separate"/>
      </w:r>
      <w:r w:rsidR="00C21615" w:rsidRPr="00C21615">
        <w:rPr>
          <w:rFonts w:ascii="Calibri" w:hAnsi="Calibri" w:cs="Calibri"/>
        </w:rPr>
        <w:t>(Dreher, Sturm, and Haan 2010)</w:t>
      </w:r>
      <w:r w:rsidR="00DA13FC">
        <w:rPr>
          <w:rFonts w:ascii="Calibri" w:hAnsi="Calibri" w:cs="Calibri"/>
        </w:rPr>
        <w:fldChar w:fldCharType="end"/>
      </w:r>
      <w:r w:rsidR="00D975A1">
        <w:rPr>
          <w:rFonts w:ascii="Calibri" w:hAnsi="Calibri" w:cs="Calibri"/>
        </w:rPr>
        <w:t>.</w:t>
      </w:r>
      <w:r w:rsidR="00B84C07">
        <w:rPr>
          <w:rFonts w:ascii="Calibri" w:hAnsi="Calibri" w:cs="Calibri"/>
        </w:rPr>
        <w:t xml:space="preserve"> Of </w:t>
      </w:r>
      <w:r w:rsidR="00893212">
        <w:rPr>
          <w:rFonts w:ascii="Calibri" w:hAnsi="Calibri" w:cs="Calibri"/>
        </w:rPr>
        <w:t>interest</w:t>
      </w:r>
      <w:r w:rsidR="00B84C07">
        <w:rPr>
          <w:rFonts w:ascii="Calibri" w:hAnsi="Calibri" w:cs="Calibri"/>
        </w:rPr>
        <w:t xml:space="preserve"> is the </w:t>
      </w:r>
      <w:r w:rsidR="00893212">
        <w:rPr>
          <w:rFonts w:ascii="Calibri" w:hAnsi="Calibri" w:cs="Calibri"/>
        </w:rPr>
        <w:t>indicator</w:t>
      </w:r>
      <w:r w:rsidR="00B84C07">
        <w:rPr>
          <w:rFonts w:ascii="Calibri" w:hAnsi="Calibri" w:cs="Calibri"/>
        </w:rPr>
        <w:t xml:space="preserve"> for </w:t>
      </w:r>
      <w:r w:rsidR="00893212">
        <w:rPr>
          <w:rFonts w:ascii="Calibri" w:hAnsi="Calibri" w:cs="Calibri"/>
        </w:rPr>
        <w:t>irregular central bank governor turnover, which fires when a governor departs before the end of their expected legal term. In other cases, use is made of the time</w:t>
      </w:r>
      <w:r w:rsidR="00D417FC">
        <w:rPr>
          <w:rFonts w:ascii="Calibri" w:hAnsi="Calibri" w:cs="Calibri"/>
        </w:rPr>
        <w:t xml:space="preserve"> in office variable, which counts number of years the current governor has served in each year.</w:t>
      </w:r>
    </w:p>
    <w:p w14:paraId="2169D85D" w14:textId="0220DF8D" w:rsidR="00057FA3" w:rsidRDefault="005E2E1A" w:rsidP="00C8108F">
      <w:r>
        <w:t>For data on</w:t>
      </w:r>
      <w:r w:rsidR="00F82C61">
        <w:t xml:space="preserve"> </w:t>
      </w:r>
      <w:r>
        <w:t xml:space="preserve">exchange rate regimes, I use </w:t>
      </w:r>
      <w:r w:rsidR="00C8108F">
        <w:t xml:space="preserve">annual </w:t>
      </w:r>
      <w:r>
        <w:t xml:space="preserve">classifications developed by </w:t>
      </w:r>
      <w:proofErr w:type="spellStart"/>
      <w:r w:rsidR="00DE794B" w:rsidRPr="00DE794B">
        <w:t>Ilzetzki</w:t>
      </w:r>
      <w:proofErr w:type="spellEnd"/>
      <w:r w:rsidR="00DE794B" w:rsidRPr="00DE794B">
        <w:t>, Reinhart, and Rogoff</w:t>
      </w:r>
      <w:r w:rsidR="00C8108F">
        <w:t xml:space="preserve"> which cover 1946-2016 </w:t>
      </w:r>
      <w:r w:rsidR="00536521">
        <w:t xml:space="preserve">for 194 countries </w:t>
      </w:r>
      <w:r w:rsidR="00B84A9E">
        <w:fldChar w:fldCharType="begin"/>
      </w:r>
      <w:r w:rsidR="00043961">
        <w:instrText xml:space="preserve"> ADDIN ZOTERO_ITEM CSL_CITATION {"citationID":"xJ1fUPYj","properties":{"formattedCitation":"(IRR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B84A9E">
        <w:fldChar w:fldCharType="separate"/>
      </w:r>
      <w:r w:rsidR="00043961" w:rsidRPr="00C8108F">
        <w:rPr>
          <w:rFonts w:ascii="Calibri" w:hAnsi="Calibri" w:cs="Calibri"/>
        </w:rPr>
        <w:t>(IRR Data n.d.)</w:t>
      </w:r>
      <w:r w:rsidR="00B84A9E">
        <w:fldChar w:fldCharType="end"/>
      </w:r>
      <w:r w:rsidR="00C8108F">
        <w:t>.</w:t>
      </w:r>
      <w:r w:rsidR="00EA767B">
        <w:t xml:space="preserve"> </w:t>
      </w:r>
      <w:r w:rsidR="00FC4562">
        <w:t xml:space="preserve">These are de facto values.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w:t>
      </w:r>
      <w:r w:rsidR="00C14208" w:rsidRPr="002C242E">
        <w:t xml:space="preserve">law or governance basis, so the de facto </w:t>
      </w:r>
      <w:r w:rsidR="009F767E" w:rsidRPr="002C242E">
        <w:t xml:space="preserve">values </w:t>
      </w:r>
      <w:r w:rsidR="00FC4562" w:rsidRPr="002C242E">
        <w:t>are likely</w:t>
      </w:r>
      <w:r w:rsidR="009F767E" w:rsidRPr="002C242E">
        <w:t xml:space="preserve"> </w:t>
      </w:r>
      <w:r w:rsidR="00251657" w:rsidRPr="002C242E">
        <w:t>enough</w:t>
      </w:r>
      <w:r w:rsidR="009F767E" w:rsidRPr="002C242E">
        <w:t xml:space="preserve">. </w:t>
      </w:r>
      <w:r w:rsidR="00253C16" w:rsidRPr="002C242E">
        <w:t xml:space="preserve">I use their </w:t>
      </w:r>
      <w:r w:rsidR="00DF5675" w:rsidRPr="002C242E">
        <w:t>fine</w:t>
      </w:r>
      <w:r w:rsidR="00253C16" w:rsidRPr="002C242E">
        <w:t xml:space="preserve"> classification cod</w:t>
      </w:r>
      <w:r w:rsidR="007A638E" w:rsidRPr="002C242E">
        <w:t xml:space="preserve">ing. </w:t>
      </w:r>
      <w:r w:rsidR="00DF5675" w:rsidRPr="002C242E">
        <w:t>Values of</w:t>
      </w:r>
      <w:r w:rsidR="004342DE" w:rsidRPr="002C242E">
        <w:t xml:space="preserve"> 1-8 are treated as fixed and 9-14 as floating. </w:t>
      </w:r>
      <w:r w:rsidR="00057FA3" w:rsidRPr="002C242E">
        <w:t xml:space="preserve">I also </w:t>
      </w:r>
      <w:r w:rsidR="003A04FB" w:rsidRPr="002C242E">
        <w:t>check usage of</w:t>
      </w:r>
      <w:r w:rsidR="00434FAF" w:rsidRPr="002C242E">
        <w:t xml:space="preserve"> numeric values on</w:t>
      </w:r>
      <w:r w:rsidR="003A04FB" w:rsidRPr="002C242E">
        <w:t xml:space="preserve"> the</w:t>
      </w:r>
      <w:r w:rsidR="00057FA3" w:rsidRPr="002C242E">
        <w:t xml:space="preserve"> </w:t>
      </w:r>
      <w:r w:rsidR="00FB21D4" w:rsidRPr="002C242E">
        <w:t>entire scale</w:t>
      </w:r>
      <w:r w:rsidR="00434FAF" w:rsidRPr="002C242E">
        <w:t>.</w:t>
      </w:r>
      <w:r w:rsidR="00C0099B" w:rsidRPr="002C242E">
        <w:t xml:space="preserve"> As a secondary</w:t>
      </w:r>
      <w:r w:rsidR="00D63C8C">
        <w:t xml:space="preserve"> check, original </w:t>
      </w:r>
      <w:r w:rsidR="00120E30">
        <w:t xml:space="preserve">AREARS </w:t>
      </w:r>
      <w:r w:rsidR="00D63C8C">
        <w:t>IMF data on de jure arrangements</w:t>
      </w:r>
      <w:r w:rsidR="005E0562">
        <w:t xml:space="preserve"> (as well as</w:t>
      </w:r>
      <w:r w:rsidR="002B6FB7">
        <w:t xml:space="preserve"> capital controls</w:t>
      </w:r>
      <w:r w:rsidR="005E0562">
        <w:t>)</w:t>
      </w:r>
      <w:r w:rsidR="00D63C8C">
        <w:t xml:space="preserve"> are available from 1995</w:t>
      </w:r>
      <w:r w:rsidR="008972FA">
        <w:t xml:space="preserve"> </w:t>
      </w:r>
      <w:r w:rsidR="00167545">
        <w:fldChar w:fldCharType="begin"/>
      </w:r>
      <w:r w:rsidR="008972FA">
        <w:instrText xml:space="preserve"> ADDIN ZOTERO_ITEM CSL_CITATION {"citationID":"GeHjXSX5","properties":{"formattedCitation":"(IMF AREAER Database n.d.)","plainCitation":"(IMF AREAER Database n.d.)","noteIndex":0},"citationItems":[{"id":515,"uris":["http://zotero.org/users/5939705/items/BDX5NJVL"],"uri":["http://zotero.org/users/5939705/items/BDX5NJVL"],"itemData":{"id":515,"type":"webpage","title":"IMF AREAER Database","URL":"https://www.elibrary-areaer.imf.org/Pages/ERClassifcation.aspx","accessed":{"date-parts":[["2020",2,19]]}}}],"schema":"https://github.com/citation-style-language/schema/raw/master/csl-citation.json"} </w:instrText>
      </w:r>
      <w:r w:rsidR="00167545">
        <w:fldChar w:fldCharType="separate"/>
      </w:r>
      <w:r w:rsidR="008972FA" w:rsidRPr="008972FA">
        <w:rPr>
          <w:rFonts w:ascii="Calibri" w:hAnsi="Calibri" w:cs="Calibri"/>
        </w:rPr>
        <w:t>(IMF AREAER Database n.d.)</w:t>
      </w:r>
      <w:r w:rsidR="00167545">
        <w:fldChar w:fldCharType="end"/>
      </w:r>
      <w:r w:rsidR="00D2278D">
        <w:t>.</w:t>
      </w:r>
    </w:p>
    <w:p w14:paraId="422CE81C" w14:textId="52F13564" w:rsidR="00322FE8" w:rsidRPr="00322FE8" w:rsidRDefault="00322FE8" w:rsidP="00C8108F">
      <w:pPr>
        <w:rPr>
          <w:i/>
          <w:iCs/>
        </w:rPr>
      </w:pPr>
      <w:r w:rsidRPr="00322FE8">
        <w:rPr>
          <w:i/>
          <w:iCs/>
          <w:highlight w:val="cyan"/>
        </w:rPr>
        <w:t>May eliminate blue text based on small sample size</w:t>
      </w:r>
      <w:r>
        <w:rPr>
          <w:i/>
          <w:iCs/>
          <w:highlight w:val="cyan"/>
        </w:rPr>
        <w:t>, or revise to just a simple democratic and autocratic binary variable</w:t>
      </w:r>
      <w:r w:rsidRPr="00322FE8">
        <w:rPr>
          <w:i/>
          <w:iCs/>
          <w:highlight w:val="cyan"/>
        </w:rPr>
        <w:t>.</w:t>
      </w:r>
    </w:p>
    <w:p w14:paraId="7B45C365" w14:textId="7F73BEF4" w:rsidR="00C17287" w:rsidRDefault="00C17287" w:rsidP="00C17287">
      <w:r w:rsidRPr="00322FE8">
        <w:rPr>
          <w:highlight w:val="cyan"/>
        </w:rPr>
        <w:t xml:space="preserve">Separation into autocracies and democracies is provided by the Polity IV dataset from 1800-2017, </w:t>
      </w:r>
      <w:r w:rsidRPr="00322FE8">
        <w:rPr>
          <w:highlight w:val="cyan"/>
        </w:rPr>
        <w:fldChar w:fldCharType="begin"/>
      </w:r>
      <w:r w:rsidRPr="00322FE8">
        <w:rPr>
          <w:highlight w:val="cyan"/>
        </w:rPr>
        <w:instrText xml:space="preserve"> ADDIN ZOTERO_ITEM CSL_CITATION {"citationID":"U7qNWUWk","properties":{"formattedCitation":"(PolityProject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Pr="00322FE8">
        <w:rPr>
          <w:highlight w:val="cyan"/>
        </w:rPr>
        <w:fldChar w:fldCharType="separate"/>
      </w:r>
      <w:r w:rsidRPr="00322FE8">
        <w:rPr>
          <w:rFonts w:ascii="Calibri" w:hAnsi="Calibri" w:cs="Calibri"/>
          <w:highlight w:val="cyan"/>
        </w:rPr>
        <w:t>(PolityProject n.d.)</w:t>
      </w:r>
      <w:r w:rsidRPr="00322FE8">
        <w:rPr>
          <w:highlight w:val="cyan"/>
        </w:rPr>
        <w:fldChar w:fldCharType="end"/>
      </w:r>
      <w:r w:rsidRPr="00322FE8">
        <w:rPr>
          <w:highlight w:val="cyan"/>
        </w:rPr>
        <w:t>. This dataset contains the critical executive constraints</w:t>
      </w:r>
      <w:r w:rsidR="00DA5E28" w:rsidRPr="00322FE8">
        <w:rPr>
          <w:highlight w:val="cyan"/>
        </w:rPr>
        <w:t xml:space="preserve"> and political </w:t>
      </w:r>
      <w:r w:rsidR="000D5AC4" w:rsidRPr="00322FE8">
        <w:rPr>
          <w:highlight w:val="cyan"/>
        </w:rPr>
        <w:t>competitiveness</w:t>
      </w:r>
      <w:r w:rsidR="0057189D" w:rsidRPr="00322FE8">
        <w:rPr>
          <w:highlight w:val="cyan"/>
        </w:rPr>
        <w:t>/</w:t>
      </w:r>
      <w:r w:rsidR="000D5AC4" w:rsidRPr="00322FE8">
        <w:rPr>
          <w:highlight w:val="cyan"/>
        </w:rPr>
        <w:t>openness</w:t>
      </w:r>
      <w:r w:rsidRPr="00322FE8">
        <w:rPr>
          <w:highlight w:val="cyan"/>
        </w:rPr>
        <w:t xml:space="preserve"> variables necessary to adjust </w:t>
      </w:r>
      <w:r w:rsidR="00DA5E28" w:rsidRPr="00322FE8">
        <w:rPr>
          <w:highlight w:val="cyan"/>
        </w:rPr>
        <w:t xml:space="preserve">predictions </w:t>
      </w:r>
      <w:r w:rsidRPr="00322FE8">
        <w:rPr>
          <w:highlight w:val="cyan"/>
        </w:rPr>
        <w:t xml:space="preserve">for autocratic elements. </w:t>
      </w:r>
      <w:r w:rsidR="000D5AC4" w:rsidRPr="00322FE8">
        <w:rPr>
          <w:highlight w:val="cyan"/>
        </w:rPr>
        <w:t>“XCONST”</w:t>
      </w:r>
      <w:r w:rsidR="0051717E" w:rsidRPr="00322FE8">
        <w:rPr>
          <w:highlight w:val="cyan"/>
        </w:rPr>
        <w:t xml:space="preserve"> repr</w:t>
      </w:r>
      <w:r w:rsidR="009413F8" w:rsidRPr="00322FE8">
        <w:rPr>
          <w:highlight w:val="cyan"/>
        </w:rPr>
        <w:t xml:space="preserve">esents </w:t>
      </w:r>
      <w:r w:rsidR="0044680C" w:rsidRPr="00322FE8">
        <w:rPr>
          <w:highlight w:val="cyan"/>
        </w:rPr>
        <w:t>executive constraints by charting cons</w:t>
      </w:r>
      <w:r w:rsidR="00E22077" w:rsidRPr="00322FE8">
        <w:rPr>
          <w:highlight w:val="cyan"/>
        </w:rPr>
        <w:t>titutional restrictions and adherence</w:t>
      </w:r>
      <w:r w:rsidR="003C0AEF" w:rsidRPr="00322FE8">
        <w:rPr>
          <w:highlight w:val="cyan"/>
        </w:rPr>
        <w:t xml:space="preserve"> and relevant</w:t>
      </w:r>
      <w:r w:rsidR="00E22077" w:rsidRPr="00322FE8">
        <w:rPr>
          <w:highlight w:val="cyan"/>
        </w:rPr>
        <w:t xml:space="preserve"> </w:t>
      </w:r>
      <w:r w:rsidR="003C0AEF" w:rsidRPr="00322FE8">
        <w:rPr>
          <w:highlight w:val="cyan"/>
        </w:rPr>
        <w:t>“</w:t>
      </w:r>
      <w:r w:rsidR="00E22077" w:rsidRPr="00322FE8">
        <w:rPr>
          <w:highlight w:val="cyan"/>
        </w:rPr>
        <w:t>accountability groups</w:t>
      </w:r>
      <w:r w:rsidR="003C0AEF" w:rsidRPr="00322FE8">
        <w:rPr>
          <w:highlight w:val="cyan"/>
        </w:rPr>
        <w:t>” with veto power and influence on executive actions.</w:t>
      </w:r>
      <w:r w:rsidR="001109FB" w:rsidRPr="00322FE8">
        <w:rPr>
          <w:highlight w:val="cyan"/>
        </w:rPr>
        <w:t xml:space="preserve"> The variable is divided into </w:t>
      </w:r>
      <w:r w:rsidR="002049EE" w:rsidRPr="00322FE8">
        <w:rPr>
          <w:highlight w:val="cyan"/>
        </w:rPr>
        <w:t>a scale with seven categories which can be used for interactions.</w:t>
      </w:r>
      <w:r w:rsidR="001D1683" w:rsidRPr="00322FE8">
        <w:rPr>
          <w:highlight w:val="cyan"/>
        </w:rPr>
        <w:t xml:space="preserve"> </w:t>
      </w:r>
      <w:r w:rsidR="00452CE3" w:rsidRPr="00322FE8">
        <w:rPr>
          <w:highlight w:val="cyan"/>
        </w:rPr>
        <w:t>Competitiveness and openness can be measured via several variables:</w:t>
      </w:r>
      <w:r w:rsidR="004023E4" w:rsidRPr="00322FE8">
        <w:rPr>
          <w:highlight w:val="cyan"/>
        </w:rPr>
        <w:t xml:space="preserve"> the </w:t>
      </w:r>
      <w:r w:rsidR="00210A30" w:rsidRPr="00322FE8">
        <w:rPr>
          <w:highlight w:val="cyan"/>
        </w:rPr>
        <w:t>simplest</w:t>
      </w:r>
      <w:r w:rsidR="004023E4" w:rsidRPr="00322FE8">
        <w:rPr>
          <w:highlight w:val="cyan"/>
        </w:rPr>
        <w:t xml:space="preserve"> specification is that of “XRCOMP” which represents the </w:t>
      </w:r>
      <w:r w:rsidR="009C4C0B" w:rsidRPr="00322FE8">
        <w:rPr>
          <w:highlight w:val="cyan"/>
        </w:rPr>
        <w:t xml:space="preserve">style of selection of chief </w:t>
      </w:r>
      <w:r w:rsidR="00441776" w:rsidRPr="00322FE8">
        <w:rPr>
          <w:highlight w:val="cyan"/>
        </w:rPr>
        <w:t>executives</w:t>
      </w:r>
      <w:r w:rsidR="009C4C0B" w:rsidRPr="00322FE8">
        <w:rPr>
          <w:highlight w:val="cyan"/>
        </w:rPr>
        <w:t>, ranging from her</w:t>
      </w:r>
      <w:r w:rsidR="00441776" w:rsidRPr="00322FE8">
        <w:rPr>
          <w:highlight w:val="cyan"/>
        </w:rPr>
        <w:t>edit</w:t>
      </w:r>
      <w:r w:rsidR="009C4C0B" w:rsidRPr="00322FE8">
        <w:rPr>
          <w:highlight w:val="cyan"/>
        </w:rPr>
        <w:t>ary</w:t>
      </w:r>
      <w:r w:rsidR="00441776" w:rsidRPr="00322FE8">
        <w:rPr>
          <w:highlight w:val="cyan"/>
        </w:rPr>
        <w:t xml:space="preserve"> rule and rigged or boycotted elections to</w:t>
      </w:r>
      <w:r w:rsidR="00210A30" w:rsidRPr="00322FE8">
        <w:rPr>
          <w:highlight w:val="cyan"/>
        </w:rPr>
        <w:t xml:space="preserve"> competitive choice on a </w:t>
      </w:r>
      <w:r w:rsidR="00DA7179" w:rsidRPr="00322FE8">
        <w:rPr>
          <w:highlight w:val="cyan"/>
        </w:rPr>
        <w:t>three-point</w:t>
      </w:r>
      <w:r w:rsidR="00210A30" w:rsidRPr="00322FE8">
        <w:rPr>
          <w:highlight w:val="cyan"/>
        </w:rPr>
        <w:t xml:space="preserve"> scale. Alternative specifications include “XROPEN” which represents </w:t>
      </w:r>
      <w:r w:rsidR="00DC45AF" w:rsidRPr="00322FE8">
        <w:rPr>
          <w:highlight w:val="cyan"/>
        </w:rPr>
        <w:t>the potential for any individual to rule</w:t>
      </w:r>
      <w:r w:rsidR="001D4C4F" w:rsidRPr="00322FE8">
        <w:rPr>
          <w:highlight w:val="cyan"/>
        </w:rPr>
        <w:t xml:space="preserve"> and “PARREG” and “PARCOMP” representing the regulation of political participation </w:t>
      </w:r>
      <w:r w:rsidR="00DA7179" w:rsidRPr="00322FE8">
        <w:rPr>
          <w:highlight w:val="cyan"/>
        </w:rPr>
        <w:t xml:space="preserve">and extent to which alternative preferences can be pursued politically. </w:t>
      </w:r>
      <w:r w:rsidR="00617D8D" w:rsidRPr="00322FE8">
        <w:rPr>
          <w:highlight w:val="cyan"/>
        </w:rPr>
        <w:t>Polity</w:t>
      </w:r>
      <w:r w:rsidRPr="00322FE8">
        <w:rPr>
          <w:highlight w:val="cyan"/>
        </w:rPr>
        <w:t xml:space="preserve"> also provides backup information on regime changes and transitions to verify instability events.</w:t>
      </w:r>
    </w:p>
    <w:p w14:paraId="684A016D" w14:textId="525AE31D" w:rsidR="00AD018F" w:rsidRPr="00E250BC" w:rsidRDefault="00C17287" w:rsidP="00C8108F">
      <w:r w:rsidRPr="00E250BC">
        <w:lastRenderedPageBreak/>
        <w:t>It is also important to separate out cases based on economic openness in terms of the presence of capital controls</w:t>
      </w:r>
      <w:r w:rsidR="00207061" w:rsidRPr="00E250BC">
        <w:t>; theoretical predictions are likely to be stronger in open countries</w:t>
      </w:r>
      <w:r w:rsidRPr="00E250BC">
        <w:t>.</w:t>
      </w:r>
      <w:r w:rsidR="007D7FE1" w:rsidRPr="00E250BC">
        <w:t xml:space="preserve"> </w:t>
      </w:r>
      <w:r w:rsidR="00AD018F" w:rsidRPr="00E250BC">
        <w:t>Reliable data on capital controls</w:t>
      </w:r>
      <w:r w:rsidR="00F81DC7" w:rsidRPr="00E250BC">
        <w:t xml:space="preserve"> and capital account openness comes from the IMF </w:t>
      </w:r>
      <w:r w:rsidR="007D7FE1" w:rsidRPr="00E250BC">
        <w:t>for a wide range of countries and periods studied.</w:t>
      </w:r>
      <w:r w:rsidR="00A116AF" w:rsidRPr="00E250BC">
        <w:t xml:space="preserve"> </w:t>
      </w:r>
      <w:r w:rsidR="00251479" w:rsidRPr="00E250BC">
        <w:t xml:space="preserve">Chinn and Ito compile </w:t>
      </w:r>
      <w:r w:rsidR="006C4F2A" w:rsidRPr="00E250BC">
        <w:t>the KAOPEN</w:t>
      </w:r>
      <w:r w:rsidR="00251479" w:rsidRPr="00E250BC">
        <w:t xml:space="preserve"> index from this data covering 1970-</w:t>
      </w:r>
      <w:r w:rsidR="00A116AF" w:rsidRPr="00E250BC">
        <w:t xml:space="preserve">2017 for 182 countries </w:t>
      </w:r>
      <w:r w:rsidR="00AD018F" w:rsidRPr="00E250BC">
        <w:fldChar w:fldCharType="begin"/>
      </w:r>
      <w:r w:rsidR="00AD018F" w:rsidRPr="00E250BC">
        <w:instrText xml:space="preserve"> ADDIN ZOTERO_ITEM CSL_CITATION {"citationID":"XUWZRwea","properties":{"formattedCitation":"(Chinn and Ito n.d.)","plainCitation":"(Chinn and Ito n.d.)","noteIndex":0},"citationItems":[{"id":514,"uris":["http://zotero.org/users/5939705/items/IGMMWH7D"],"uri":["http://zotero.org/users/5939705/items/IGMMWH7D"],"itemData":{"id":514,"type":"article-journal","abstract":"We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D"},{"family":"Ito","given":"Hiro"}]}}],"schema":"https://github.com/citation-style-language/schema/raw/master/csl-citation.json"} </w:instrText>
      </w:r>
      <w:r w:rsidR="00AD018F" w:rsidRPr="00E250BC">
        <w:fldChar w:fldCharType="separate"/>
      </w:r>
      <w:r w:rsidR="00AD018F" w:rsidRPr="00E250BC">
        <w:rPr>
          <w:rFonts w:ascii="Calibri" w:hAnsi="Calibri" w:cs="Calibri"/>
        </w:rPr>
        <w:t>(Chinn and Ito n.d.)</w:t>
      </w:r>
      <w:r w:rsidR="00AD018F" w:rsidRPr="00E250BC">
        <w:fldChar w:fldCharType="end"/>
      </w:r>
      <w:r w:rsidR="00A116AF" w:rsidRPr="00E250BC">
        <w:t>.</w:t>
      </w:r>
      <w:r w:rsidR="006C4F2A" w:rsidRPr="00E250BC">
        <w:t xml:space="preserve"> KAOPEN tracks de jure controls based on </w:t>
      </w:r>
      <w:r w:rsidR="00275E8F" w:rsidRPr="00E250BC">
        <w:t xml:space="preserve">the presence of multiple exchange rates, </w:t>
      </w:r>
      <w:r w:rsidR="00D42E0F" w:rsidRPr="00E250BC">
        <w:t xml:space="preserve">restrictions on </w:t>
      </w:r>
      <w:r w:rsidR="002E6CEE" w:rsidRPr="00E250BC">
        <w:t xml:space="preserve">current and </w:t>
      </w:r>
      <w:r w:rsidR="00D42E0F" w:rsidRPr="00E250BC">
        <w:t>capital account transactions,</w:t>
      </w:r>
      <w:r w:rsidR="002E6CEE" w:rsidRPr="00E250BC">
        <w:t xml:space="preserve"> </w:t>
      </w:r>
      <w:r w:rsidR="003F2AA8" w:rsidRPr="00E250BC">
        <w:t>and measures concerning the surrender of export proceeds.</w:t>
      </w:r>
      <w:r w:rsidR="00ED7709" w:rsidRPr="00E250BC">
        <w:t xml:space="preserve"> </w:t>
      </w:r>
      <w:r w:rsidR="00805521" w:rsidRPr="00E250BC">
        <w:t>Results using the index can be compared with the use of capital account restrictions only</w:t>
      </w:r>
      <w:r w:rsidR="00120E30" w:rsidRPr="00E250BC">
        <w:t xml:space="preserve"> (IMF data)</w:t>
      </w:r>
      <w:r w:rsidR="00805521" w:rsidRPr="00E250BC">
        <w:t xml:space="preserve">, or the </w:t>
      </w:r>
      <w:r w:rsidR="00E65069" w:rsidRPr="00E250BC">
        <w:t>assumption that all nations were open in the period studied.</w:t>
      </w:r>
    </w:p>
    <w:p w14:paraId="31B0848E" w14:textId="0AEF49D8" w:rsidR="00190415" w:rsidRDefault="00F41732" w:rsidP="00BF3A2C">
      <w:r w:rsidRPr="00E250BC">
        <w:t xml:space="preserve">For the gross tertiary </w:t>
      </w:r>
      <w:r w:rsidR="00460624" w:rsidRPr="00E250BC">
        <w:t xml:space="preserve">education </w:t>
      </w:r>
      <w:r w:rsidRPr="00E250BC">
        <w:t>enrollment (%)</w:t>
      </w:r>
      <w:r w:rsidR="00022D00" w:rsidRPr="00E250BC">
        <w:t xml:space="preserve"> instrumental variable,</w:t>
      </w:r>
      <w:r w:rsidRPr="00E250BC">
        <w:t xml:space="preserve"> </w:t>
      </w:r>
      <w:r w:rsidR="003E600C" w:rsidRPr="00E250BC">
        <w:t>I use global indicators data published by the World Bank</w:t>
      </w:r>
      <w:r w:rsidR="00A71332" w:rsidRPr="00E250BC">
        <w:t xml:space="preserve"> (in turn collected from the </w:t>
      </w:r>
      <w:r w:rsidR="00C432DA" w:rsidRPr="00E250BC">
        <w:t>UNESCO Institute for Statistics)</w:t>
      </w:r>
      <w:r w:rsidR="00016E15" w:rsidRPr="00E250BC">
        <w:t xml:space="preserve"> </w:t>
      </w:r>
      <w:r w:rsidR="004E4F2F" w:rsidRPr="00E250BC">
        <w:fldChar w:fldCharType="begin"/>
      </w:r>
      <w:r w:rsidR="00016E15" w:rsidRPr="00E250BC">
        <w:instrText xml:space="preserve"> ADDIN ZOTERO_ITEM CSL_CITATION {"citationID":"yshgEsio","properties":{"formattedCitation":"(School enrollment, tertiary (% gross) | Data n.d.)","plainCitation":"(School enrollment, tertiary (% gross) | Data n.d.)","noteIndex":0},"citationItems":[{"id":237,"uris":["http://zotero.org/users/5939705/items/LEAXJJLI"],"uri":["http://zotero.org/users/5939705/items/LEAXJJLI"],"itemData":{"id":237,"type":"webpage","title":"School enrollment, tertiary (% gross) | Data","URL":"https://data.worldbank.org/indicator/SE.TER.ENRR","accessed":{"date-parts":[["2020",1,4]]}}}],"schema":"https://github.com/citation-style-language/schema/raw/master/csl-citation.json"} </w:instrText>
      </w:r>
      <w:r w:rsidR="004E4F2F" w:rsidRPr="00E250BC">
        <w:fldChar w:fldCharType="separate"/>
      </w:r>
      <w:r w:rsidR="00016E15" w:rsidRPr="00E250BC">
        <w:rPr>
          <w:rFonts w:ascii="Calibri" w:hAnsi="Calibri" w:cs="Calibri"/>
        </w:rPr>
        <w:t>(School enrollment, tertiary (% gross) | Data n.d.)</w:t>
      </w:r>
      <w:r w:rsidR="004E4F2F" w:rsidRPr="00E250BC">
        <w:fldChar w:fldCharType="end"/>
      </w:r>
      <w:r w:rsidRPr="00E250BC">
        <w:t>.</w:t>
      </w:r>
      <w:r w:rsidR="00653E2A" w:rsidRPr="00E250BC">
        <w:t xml:space="preserve"> </w:t>
      </w:r>
      <w:r w:rsidR="003741A1" w:rsidRPr="00E250BC">
        <w:t xml:space="preserve">At this point it is important to note the usage of </w:t>
      </w:r>
      <w:r w:rsidR="00BF3A2C" w:rsidRPr="00E250BC">
        <w:t>percentage</w:t>
      </w:r>
      <w:r w:rsidR="003741A1" w:rsidRPr="00E250BC">
        <w:t>s for enrollment</w:t>
      </w:r>
      <w:r w:rsidR="00BF3A2C" w:rsidRPr="00E250BC">
        <w:t xml:space="preserve"> versus absolute levels</w:t>
      </w:r>
      <w:r w:rsidR="003741A1" w:rsidRPr="00E250BC">
        <w:t xml:space="preserve">. It could be argued that a country only needs a certain raw number of </w:t>
      </w:r>
      <w:r w:rsidR="003605C7" w:rsidRPr="00E250BC">
        <w:t>tertiary graduates before it is cable of running an independent central bank.</w:t>
      </w:r>
      <w:r w:rsidR="001D2873" w:rsidRPr="00E250BC">
        <w:t xml:space="preserve"> </w:t>
      </w:r>
      <w:r w:rsidR="0043500E" w:rsidRPr="00E250BC">
        <w:t xml:space="preserve">First, </w:t>
      </w:r>
      <w:r w:rsidR="00FF42A8" w:rsidRPr="00E250BC">
        <w:t>more populous nations may require more central bank staff. This may be particularly relevant</w:t>
      </w:r>
      <w:r w:rsidR="00E32A47" w:rsidRPr="00E250BC">
        <w:t xml:space="preserve"> when one considers the example of the system of </w:t>
      </w:r>
      <w:r w:rsidR="000204BB" w:rsidRPr="00E250BC">
        <w:t>regional Federal Reserve Banks in the United States.</w:t>
      </w:r>
      <w:r w:rsidR="001D2873" w:rsidRPr="00E250BC">
        <w:t xml:space="preserve"> </w:t>
      </w:r>
      <w:r w:rsidR="00190415" w:rsidRPr="00E250BC">
        <w:t xml:space="preserve">Next, the </w:t>
      </w:r>
      <w:r w:rsidR="003A3E95" w:rsidRPr="00E250BC">
        <w:t xml:space="preserve">use of percentages better accounts for the actual availability of graduates for </w:t>
      </w:r>
      <w:r w:rsidR="000174C7" w:rsidRPr="00E250BC">
        <w:t>service to the central bank.</w:t>
      </w:r>
      <w:r w:rsidR="00863514" w:rsidRPr="00E250BC">
        <w:t xml:space="preserve"> Tertiary graduates are assumed to have </w:t>
      </w:r>
      <w:r w:rsidR="001D2873" w:rsidRPr="00E250BC">
        <w:t>a choice between occupations in the government or private sector</w:t>
      </w:r>
      <w:r w:rsidR="00CF5D86" w:rsidRPr="00E250BC">
        <w:t xml:space="preserve">; raw numbers </w:t>
      </w:r>
      <w:r w:rsidR="00BE3A4D" w:rsidRPr="00E250BC">
        <w:t xml:space="preserve">do not necessarily </w:t>
      </w:r>
      <w:r w:rsidR="00B33AA6" w:rsidRPr="00E250BC">
        <w:t xml:space="preserve">mean more </w:t>
      </w:r>
      <w:r w:rsidR="009658E4" w:rsidRPr="00E250BC">
        <w:t>expertise available</w:t>
      </w:r>
      <w:r w:rsidR="00267809" w:rsidRPr="00E250BC">
        <w:t xml:space="preserve">, </w:t>
      </w:r>
      <w:r w:rsidR="00F95F7D" w:rsidRPr="00E250BC">
        <w:t xml:space="preserve">and a large educated share of the populace </w:t>
      </w:r>
      <w:r w:rsidR="00357833" w:rsidRPr="00E250BC">
        <w:t>provides a better proxy</w:t>
      </w:r>
      <w:r w:rsidR="001D2873" w:rsidRPr="00E250BC">
        <w:t>.</w:t>
      </w:r>
    </w:p>
    <w:p w14:paraId="713B63DB" w14:textId="13076761" w:rsidR="00C538C6" w:rsidRDefault="00EC3D63" w:rsidP="00BF3A2C">
      <w:r>
        <w:t>As mentioned above, for the secondary instrument of social sciences and business graduates</w:t>
      </w:r>
      <w:r w:rsidR="004775E3">
        <w:t xml:space="preserve"> I make use of OECD data provided from 2005-2017</w:t>
      </w:r>
      <w:r w:rsidR="009D75C7">
        <w:t xml:space="preserve"> </w:t>
      </w:r>
      <w:r w:rsidR="00C538C6">
        <w:fldChar w:fldCharType="begin"/>
      </w:r>
      <w:r w:rsidR="00176C0A">
        <w:instrText xml:space="preserve"> ADDIN ZOTERO_ITEM CSL_CITATION {"citationID":"Tu7arM8T","properties":{"formattedCitation":"(Students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C538C6">
        <w:fldChar w:fldCharType="separate"/>
      </w:r>
      <w:r w:rsidR="00176C0A" w:rsidRPr="00176C0A">
        <w:rPr>
          <w:rFonts w:ascii="Calibri" w:hAnsi="Calibri" w:cs="Calibri"/>
        </w:rPr>
        <w:t>(Students - Tertiary graduates by field - OECD Data n.d.)</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r w:rsidR="00FD02F1">
        <w:t xml:space="preserve"> The data is multiplied by World Bank figures used above</w:t>
      </w:r>
      <w:r w:rsidR="007220D3">
        <w:t xml:space="preserve"> to get a total population share of </w:t>
      </w:r>
      <w:r w:rsidR="000B2BB7">
        <w:t>social science and business graduates of tertiary education.</w:t>
      </w:r>
    </w:p>
    <w:p w14:paraId="4944F3BD" w14:textId="51E17D35" w:rsidR="00222733" w:rsidRDefault="006F3978" w:rsidP="00BF3A2C">
      <w:r>
        <w:t xml:space="preserve">As </w:t>
      </w:r>
      <w:r w:rsidR="006C446B">
        <w:t>my</w:t>
      </w:r>
      <w:r>
        <w:t xml:space="preserve"> imperfect instrument for exchange rate regime, I use</w:t>
      </w:r>
      <w:r w:rsidR="0027662C">
        <w:t xml:space="preserve"> and estimation of aggregate GDP from </w:t>
      </w:r>
      <w:r w:rsidR="009E03BC">
        <w:t>V-dem</w:t>
      </w:r>
      <w:r w:rsidR="0027662C">
        <w:t xml:space="preserve">, obtained by multiplying GDP per capita </w:t>
      </w:r>
      <w:r w:rsidR="00211F56">
        <w:t xml:space="preserve">(Maddison’s estimate) </w:t>
      </w:r>
      <w:r w:rsidR="0027662C">
        <w:t xml:space="preserve">in current US dollars by </w:t>
      </w:r>
      <w:r w:rsidR="001A405F">
        <w:t xml:space="preserve">the level of population </w:t>
      </w:r>
      <w:r w:rsidR="007F3168">
        <w:fldChar w:fldCharType="begin"/>
      </w:r>
      <w:r w:rsidR="00534F04">
        <w:instrText xml:space="preserve"> ADDIN ZOTERO_ITEM CSL_CITATION {"citationID":"vHeAudqR","properties":{"formattedCitation":"(Michael Coppedge et al. 2020)","plainCitation":"(Michael Coppedge et al. 2020)","noteIndex":0},"citationItems":[{"id":567,"uris":["http://zotero.org/users/5939705/items/GZ2TDTHT"],"uri":["http://zotero.org/users/5939705/items/GZ2TDTHT"],"itemData":{"id":567,"type":"webpage","container-title":"Varieties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rsidR="007F3168">
        <w:fldChar w:fldCharType="separate"/>
      </w:r>
      <w:r w:rsidR="00534F04" w:rsidRPr="00534F04">
        <w:rPr>
          <w:rFonts w:ascii="Calibri" w:hAnsi="Calibri" w:cs="Calibri"/>
        </w:rPr>
        <w:t>(Michael Coppedge et al. 2020)</w:t>
      </w:r>
      <w:r w:rsidR="007F3168">
        <w:fldChar w:fldCharType="end"/>
      </w:r>
      <w:r w:rsidR="001A405F">
        <w:t>.</w:t>
      </w:r>
      <w:r w:rsidR="00211F56">
        <w:t xml:space="preserve"> </w:t>
      </w:r>
      <w:r w:rsidR="00D36F09" w:rsidRPr="00106048">
        <w:rPr>
          <w:highlight w:val="yellow"/>
        </w:rPr>
        <w:t>Alternatives in the form of PPP adjustments to various years are also available</w:t>
      </w:r>
      <w:r w:rsidR="009D75C7" w:rsidRPr="00106048">
        <w:rPr>
          <w:highlight w:val="yellow"/>
        </w:rPr>
        <w:t>, but over restricted time period and sample</w:t>
      </w:r>
      <w:r w:rsidR="00474BB6" w:rsidRPr="00106048">
        <w:rPr>
          <w:highlight w:val="yellow"/>
        </w:rPr>
        <w:t>. Th</w:t>
      </w:r>
      <w:r w:rsidR="009D75C7" w:rsidRPr="00106048">
        <w:rPr>
          <w:highlight w:val="yellow"/>
        </w:rPr>
        <w:t>ey</w:t>
      </w:r>
      <w:r w:rsidR="00474BB6" w:rsidRPr="00106048">
        <w:rPr>
          <w:highlight w:val="yellow"/>
        </w:rPr>
        <w:t xml:space="preserve"> may </w:t>
      </w:r>
      <w:r w:rsidR="009D75C7" w:rsidRPr="00106048">
        <w:rPr>
          <w:highlight w:val="yellow"/>
        </w:rPr>
        <w:t xml:space="preserve">nonetheless </w:t>
      </w:r>
      <w:r w:rsidR="00474BB6" w:rsidRPr="00106048">
        <w:rPr>
          <w:highlight w:val="yellow"/>
        </w:rPr>
        <w:t>be check</w:t>
      </w:r>
      <w:r w:rsidR="000659F2" w:rsidRPr="00106048">
        <w:rPr>
          <w:highlight w:val="yellow"/>
        </w:rPr>
        <w:t>ed</w:t>
      </w:r>
      <w:r w:rsidR="00474BB6" w:rsidRPr="00106048">
        <w:rPr>
          <w:highlight w:val="yellow"/>
        </w:rPr>
        <w:t xml:space="preserve"> to see which provides the best first stage prediction</w:t>
      </w:r>
      <w:r w:rsidR="000659F2" w:rsidRPr="00106048">
        <w:rPr>
          <w:highlight w:val="yellow"/>
        </w:rPr>
        <w:t>.</w:t>
      </w:r>
    </w:p>
    <w:p w14:paraId="51D137A0" w14:textId="47BD1477" w:rsidR="00E31CF0" w:rsidRDefault="00C41D65" w:rsidP="00BF3A2C">
      <w:r>
        <w:t xml:space="preserve">Finally, for most of my </w:t>
      </w:r>
      <w:r w:rsidR="003E7A80">
        <w:t>institutional controls</w:t>
      </w:r>
      <w:r>
        <w:t xml:space="preserve"> I use variables built in to the Varieties of Democracy Dataset</w:t>
      </w:r>
      <w:r w:rsidR="003E7A80">
        <w:t xml:space="preserve">. Although many institutional characteristics are likely absorbed as </w:t>
      </w:r>
      <w:r w:rsidR="009A5FF3">
        <w:t xml:space="preserve">country </w:t>
      </w:r>
      <w:r w:rsidR="003E7A80">
        <w:t>fixed effects for the period studied, I still seek to make use 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4876D4">
        <w:instrText xml:space="preserve"> ADDIN ZOTERO_ITEM CSL_CITATION {"citationID":"n0t63h38","properties":{"formattedCitation":"(Scartascini, Cruz, and Keefer 2018)","plainCitation":"(Scartascini, Cruz, and Keefer 2018)","noteIndex":0},"citationItems":[{"id":495,"uris":["http://zotero.org/users/5939705/items/JQ3FBR3A"],"uri":["http://zotero.org/users/5939705/items/JQ3FBR3A"],"itemData":{"id":495,"type":"report","note":"DOI: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F43CF1">
        <w:instrText xml:space="preserve"> ADDIN ZOTERO_ITEM CSL_CITATION {"citationID":"4hYIjR0a","properties":{"formattedCitation":"(AIAS n.d.; Kenworthy 2003)","plainCitation":"(AIAS n.d.; Kenworthy 2003)","noteIndex":0},"citationItems":[{"id":496,"uris":["http://zotero.org/users/5939705/items/W3JS3WIU"],"uri":["http://zotero.org/users/5939705/items/W3JS3WIU"],"itemData":{"id":496,"type":"webpage","abstract":"Amsterdams Instituut voor ArbeidsStudies","title":"AIAS","URL":"http://uva-aias.net/en/ictwss","accessed":{"date-parts":[["2020",2,17]]}}},{"id":499,"uris":["http://zotero.org/users/5939705/items/9ITRE3M7"],"uri":["http://zotero.org/users/5939705/items/9ITRE3M7"],"itemData":{"id":499,"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F43CF1" w:rsidRPr="00F43CF1">
        <w:rPr>
          <w:rFonts w:ascii="Calibri" w:hAnsi="Calibri" w:cs="Calibri"/>
        </w:rPr>
        <w:t>(AIAS n.d.; Kenworthy 2003)</w:t>
      </w:r>
      <w:r w:rsidR="00670769">
        <w:fldChar w:fldCharType="end"/>
      </w:r>
      <w:r w:rsidR="00967D07">
        <w:t>.</w:t>
      </w:r>
    </w:p>
    <w:p w14:paraId="6380341F" w14:textId="45640D13" w:rsidR="00004AD1" w:rsidRDefault="00004AD1" w:rsidP="002930AA">
      <w:pPr>
        <w:pStyle w:val="Heading1"/>
      </w:pPr>
      <w:r>
        <w:lastRenderedPageBreak/>
        <w:t>Results</w:t>
      </w:r>
    </w:p>
    <w:p w14:paraId="2A56799B" w14:textId="2A56EA2C" w:rsidR="003D2A95" w:rsidRDefault="003D2A95" w:rsidP="00BF3A2C">
      <w:proofErr w:type="gramStart"/>
      <w:r>
        <w:t xml:space="preserve">All </w:t>
      </w:r>
      <w:r w:rsidR="00EE2557">
        <w:t>of</w:t>
      </w:r>
      <w:proofErr w:type="gramEnd"/>
      <w:r w:rsidR="00EE2557">
        <w:t xml:space="preserve"> the following regressions were performed with </w:t>
      </w:r>
      <w:r>
        <w:t>robust</w:t>
      </w:r>
      <w:r w:rsidR="00EE2557">
        <w:t xml:space="preserve"> </w:t>
      </w:r>
      <w:r w:rsidR="008063D5">
        <w:t>and clustered standard errors</w:t>
      </w:r>
      <w:r w:rsidR="00C5318A">
        <w:t xml:space="preserve">, with the former proving useful for OLS models, and the latter </w:t>
      </w:r>
      <w:r w:rsidR="00EC2941">
        <w:t>for fixed effects panel regressions at the country level</w:t>
      </w:r>
      <w:r w:rsidR="008063D5">
        <w:t xml:space="preserve">. </w:t>
      </w:r>
      <w:r w:rsidR="00D11B95">
        <w:t>Levels</w:t>
      </w:r>
      <w:r w:rsidR="008063D5">
        <w:t xml:space="preserve"> of variation in stability or </w:t>
      </w:r>
      <w:r w:rsidR="001956FC">
        <w:t xml:space="preserve">number of </w:t>
      </w:r>
      <w:r w:rsidR="008063D5">
        <w:t xml:space="preserve">turnover events </w:t>
      </w:r>
      <w:r w:rsidR="00D11B95">
        <w:t>are likely to</w:t>
      </w:r>
      <w:r w:rsidR="008063D5">
        <w:t xml:space="preserve"> vary considerably</w:t>
      </w:r>
      <w:r w:rsidR="001956FC">
        <w:t xml:space="preserve"> across</w:t>
      </w:r>
      <w:r w:rsidR="005A44C0">
        <w:t xml:space="preserve"> the sample</w:t>
      </w:r>
      <w:r w:rsidR="00027A1A">
        <w:t xml:space="preserve"> </w:t>
      </w:r>
      <w:r w:rsidR="005A44C0">
        <w:fldChar w:fldCharType="begin"/>
      </w:r>
      <w:r w:rsidR="00027A1A">
        <w:instrText xml:space="preserve"> ADDIN ZOTERO_ITEM CSL_CITATION {"citationID":"Ckipb4XH","properties":{"formattedCitation":"(Bernhard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26E719F5" w14:textId="3A8FFC91" w:rsidR="005C332D" w:rsidRDefault="0037651B" w:rsidP="00BF3A2C">
      <w:r>
        <w:t>Selected re</w:t>
      </w:r>
      <w:r w:rsidR="002202D5">
        <w:t>sults for the full sample tests are shown</w:t>
      </w:r>
      <w:r w:rsidR="00444C88">
        <w:t xml:space="preserve"> in the first group of tables.</w:t>
      </w:r>
      <w:r w:rsidR="002C7880">
        <w:t xml:space="preserve"> In OLS regression</w:t>
      </w:r>
      <w:r w:rsidR="00B438E3">
        <w:t xml:space="preserve"> the level </w:t>
      </w:r>
      <w:r w:rsidR="005E7330">
        <w:t xml:space="preserve">of de </w:t>
      </w:r>
      <w:r w:rsidR="005E1A60">
        <w:t xml:space="preserve">jure </w:t>
      </w:r>
      <w:r w:rsidR="005E7330">
        <w:t>Central Bank Independence as measured</w:t>
      </w:r>
      <w:r w:rsidR="00C35BE5">
        <w:t xml:space="preserve"> by the</w:t>
      </w:r>
      <w:r w:rsidR="0056326F">
        <w:t xml:space="preserve"> weighted</w:t>
      </w:r>
      <w:r w:rsidR="00C35BE5">
        <w:t xml:space="preserve"> Cukierman index increases </w:t>
      </w:r>
      <w:r w:rsidR="006E5435">
        <w:t xml:space="preserve">turnover or the Head of Government by 0.318 points on </w:t>
      </w:r>
      <w:r w:rsidR="00FF0BB1">
        <w:t>V Dem’s two point turnover</w:t>
      </w:r>
      <w:r w:rsidR="00C73F78">
        <w:t xml:space="preserve"> scale-</w:t>
      </w:r>
      <w:r w:rsidR="0009791A">
        <w:t xml:space="preserve"> indicating</w:t>
      </w:r>
      <w:r w:rsidR="00756813">
        <w:t>, for example, a</w:t>
      </w:r>
      <w:r w:rsidR="0009791A">
        <w:t xml:space="preserve"> roughly 30% percent higher </w:t>
      </w:r>
      <w:r w:rsidR="00756813">
        <w:t xml:space="preserve">chance </w:t>
      </w:r>
      <w:r w:rsidR="00AC3C52">
        <w:t xml:space="preserve">that either a new individual or new party occupies the </w:t>
      </w:r>
      <w:r w:rsidR="001F420C">
        <w:t>Head of Government position</w:t>
      </w:r>
      <w:r w:rsidR="005E1A60">
        <w:t xml:space="preserve"> when Central Bank Independence moves from its sample minimum to sample maximum</w:t>
      </w:r>
      <w:r w:rsidR="00710658">
        <w:t xml:space="preserve"> (Cukierman index value 0 to 1)</w:t>
      </w:r>
      <w:r w:rsidR="001F420C">
        <w:t>.</w:t>
      </w:r>
      <w:r w:rsidR="00710658">
        <w:t xml:space="preserve"> Importantly, in a </w:t>
      </w:r>
      <w:r w:rsidR="0061387D">
        <w:t xml:space="preserve">country and year </w:t>
      </w:r>
      <w:r w:rsidR="00710658">
        <w:t xml:space="preserve">fixed effects regression, this </w:t>
      </w:r>
      <w:r w:rsidR="00556171">
        <w:t>relationship</w:t>
      </w:r>
      <w:r w:rsidR="00710658">
        <w:t xml:space="preserve"> </w:t>
      </w:r>
      <w:r w:rsidR="0056326F">
        <w:t>loses significance.</w:t>
      </w:r>
    </w:p>
    <w:tbl>
      <w:tblPr>
        <w:tblW w:w="0" w:type="auto"/>
        <w:tblLayout w:type="fixed"/>
        <w:tblLook w:val="0000" w:firstRow="0" w:lastRow="0" w:firstColumn="0" w:lastColumn="0" w:noHBand="0" w:noVBand="0"/>
      </w:tblPr>
      <w:tblGrid>
        <w:gridCol w:w="1656"/>
        <w:gridCol w:w="2016"/>
        <w:gridCol w:w="2016"/>
      </w:tblGrid>
      <w:tr w:rsidR="001E38CE" w14:paraId="44667111" w14:textId="77777777" w:rsidTr="00005463">
        <w:tc>
          <w:tcPr>
            <w:tcW w:w="1656" w:type="dxa"/>
            <w:tcBorders>
              <w:top w:val="single" w:sz="4" w:space="0" w:color="auto"/>
              <w:left w:val="nil"/>
              <w:bottom w:val="nil"/>
              <w:right w:val="nil"/>
            </w:tcBorders>
          </w:tcPr>
          <w:p w14:paraId="60702A45"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4A127DD8"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4272AD12"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E38CE" w14:paraId="295A5774" w14:textId="77777777" w:rsidTr="00005463">
        <w:tc>
          <w:tcPr>
            <w:tcW w:w="1656" w:type="dxa"/>
            <w:tcBorders>
              <w:top w:val="nil"/>
              <w:left w:val="nil"/>
              <w:bottom w:val="nil"/>
              <w:right w:val="nil"/>
            </w:tcBorders>
          </w:tcPr>
          <w:p w14:paraId="290C77BD"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5A49FA"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c>
          <w:tcPr>
            <w:tcW w:w="2016" w:type="dxa"/>
            <w:tcBorders>
              <w:top w:val="nil"/>
              <w:left w:val="nil"/>
              <w:bottom w:val="nil"/>
              <w:right w:val="nil"/>
            </w:tcBorders>
          </w:tcPr>
          <w:p w14:paraId="48D4DE20"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r>
      <w:tr w:rsidR="001E38CE" w14:paraId="2E4F66E4" w14:textId="77777777" w:rsidTr="00005463">
        <w:tc>
          <w:tcPr>
            <w:tcW w:w="1656" w:type="dxa"/>
            <w:tcBorders>
              <w:top w:val="single" w:sz="4" w:space="0" w:color="auto"/>
              <w:left w:val="nil"/>
              <w:bottom w:val="nil"/>
              <w:right w:val="nil"/>
            </w:tcBorders>
          </w:tcPr>
          <w:p w14:paraId="09D9D137"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043BD6D1"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06ACCD5F"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0.234</w:t>
            </w:r>
          </w:p>
        </w:tc>
      </w:tr>
      <w:tr w:rsidR="001E38CE" w14:paraId="7EEF41EA" w14:textId="77777777" w:rsidTr="00005463">
        <w:tc>
          <w:tcPr>
            <w:tcW w:w="1656" w:type="dxa"/>
            <w:tcBorders>
              <w:top w:val="nil"/>
              <w:left w:val="nil"/>
              <w:bottom w:val="nil"/>
              <w:right w:val="nil"/>
            </w:tcBorders>
          </w:tcPr>
          <w:p w14:paraId="372B0734"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8C02F95"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(2.68)</w:t>
            </w:r>
          </w:p>
        </w:tc>
        <w:tc>
          <w:tcPr>
            <w:tcW w:w="2016" w:type="dxa"/>
            <w:tcBorders>
              <w:top w:val="nil"/>
              <w:left w:val="nil"/>
              <w:bottom w:val="nil"/>
              <w:right w:val="nil"/>
            </w:tcBorders>
          </w:tcPr>
          <w:p w14:paraId="4FEE2ADD"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w:t>
            </w:r>
          </w:p>
        </w:tc>
      </w:tr>
      <w:tr w:rsidR="001E38CE" w14:paraId="63E9F4FA" w14:textId="77777777" w:rsidTr="00005463">
        <w:tc>
          <w:tcPr>
            <w:tcW w:w="1656" w:type="dxa"/>
            <w:tcBorders>
              <w:top w:val="nil"/>
              <w:left w:val="nil"/>
              <w:bottom w:val="nil"/>
              <w:right w:val="nil"/>
            </w:tcBorders>
          </w:tcPr>
          <w:p w14:paraId="3BC0A1D9"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80DD4C7"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5A8B30D"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r>
      <w:tr w:rsidR="001E38CE" w14:paraId="0FDC7E0A" w14:textId="77777777" w:rsidTr="00005463">
        <w:tc>
          <w:tcPr>
            <w:tcW w:w="1656" w:type="dxa"/>
            <w:tcBorders>
              <w:top w:val="nil"/>
              <w:left w:val="nil"/>
              <w:bottom w:val="nil"/>
              <w:right w:val="nil"/>
            </w:tcBorders>
          </w:tcPr>
          <w:p w14:paraId="21681362"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0BC540B"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0.493</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3F101BD"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0.534</w:t>
            </w:r>
            <w:r>
              <w:rPr>
                <w:rFonts w:ascii="Times New Roman" w:hAnsi="Times New Roman" w:cs="Times New Roman"/>
                <w:sz w:val="24"/>
                <w:szCs w:val="24"/>
                <w:vertAlign w:val="superscript"/>
              </w:rPr>
              <w:t>***</w:t>
            </w:r>
          </w:p>
        </w:tc>
      </w:tr>
      <w:tr w:rsidR="001E38CE" w14:paraId="489258BE" w14:textId="77777777" w:rsidTr="00005463">
        <w:tc>
          <w:tcPr>
            <w:tcW w:w="1656" w:type="dxa"/>
            <w:tcBorders>
              <w:top w:val="nil"/>
              <w:left w:val="nil"/>
              <w:bottom w:val="single" w:sz="4" w:space="0" w:color="auto"/>
              <w:right w:val="nil"/>
            </w:tcBorders>
          </w:tcPr>
          <w:p w14:paraId="18DBF8F6"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9EAB91A"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2016" w:type="dxa"/>
            <w:tcBorders>
              <w:top w:val="nil"/>
              <w:left w:val="nil"/>
              <w:bottom w:val="single" w:sz="4" w:space="0" w:color="auto"/>
              <w:right w:val="nil"/>
            </w:tcBorders>
          </w:tcPr>
          <w:p w14:paraId="4CCBFC14"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(6.03)</w:t>
            </w:r>
          </w:p>
        </w:tc>
      </w:tr>
      <w:tr w:rsidR="001E38CE" w14:paraId="39BBE6DB" w14:textId="77777777" w:rsidTr="00005463">
        <w:tc>
          <w:tcPr>
            <w:tcW w:w="1656" w:type="dxa"/>
            <w:tcBorders>
              <w:top w:val="nil"/>
              <w:left w:val="nil"/>
              <w:bottom w:val="single" w:sz="4" w:space="0" w:color="auto"/>
              <w:right w:val="nil"/>
            </w:tcBorders>
          </w:tcPr>
          <w:p w14:paraId="316343D2"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482D9E1D"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1467</w:t>
            </w:r>
          </w:p>
        </w:tc>
        <w:tc>
          <w:tcPr>
            <w:tcW w:w="2016" w:type="dxa"/>
            <w:tcBorders>
              <w:top w:val="nil"/>
              <w:left w:val="nil"/>
              <w:bottom w:val="single" w:sz="4" w:space="0" w:color="auto"/>
              <w:right w:val="nil"/>
            </w:tcBorders>
          </w:tcPr>
          <w:p w14:paraId="19179BAC"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1467</w:t>
            </w:r>
          </w:p>
        </w:tc>
      </w:tr>
    </w:tbl>
    <w:p w14:paraId="7894436F" w14:textId="77777777" w:rsidR="001E38CE" w:rsidRDefault="001E38CE" w:rsidP="001E38C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F3E57B3" w14:textId="7FF4B1F6" w:rsidR="00A17DB3" w:rsidRPr="001554AA" w:rsidRDefault="001E38CE" w:rsidP="001554A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CC6B923" w14:textId="77777777" w:rsidR="001554AA" w:rsidRDefault="001554AA" w:rsidP="00BF3A2C"/>
    <w:p w14:paraId="484685DB" w14:textId="2774909C" w:rsidR="00A17DB3" w:rsidRDefault="00A17DB3" w:rsidP="00BF3A2C">
      <w:r>
        <w:t xml:space="preserve">De facto central bank independence, however, as measured by </w:t>
      </w:r>
      <w:r w:rsidR="00D7638C">
        <w:t>Drehe</w:t>
      </w:r>
      <w:r w:rsidR="00DC3BB4">
        <w:t>r</w:t>
      </w:r>
      <w:r w:rsidR="00B66933">
        <w:t xml:space="preserve"> et. </w:t>
      </w:r>
      <w:proofErr w:type="spellStart"/>
      <w:r w:rsidR="00B66933">
        <w:t>al’s</w:t>
      </w:r>
      <w:proofErr w:type="spellEnd"/>
      <w:r w:rsidR="00B66933">
        <w:t xml:space="preserve"> event variable denoting </w:t>
      </w:r>
      <w:r w:rsidR="00746CB4">
        <w:t>“irregular</w:t>
      </w:r>
      <w:r w:rsidR="00E53CAA">
        <w:t>”</w:t>
      </w:r>
      <w:r w:rsidR="00746CB4">
        <w:t xml:space="preserve"> </w:t>
      </w:r>
      <w:r w:rsidR="00E53CAA">
        <w:t>change in the Central Bank governor before the full expiration of a term</w:t>
      </w:r>
      <w:r w:rsidR="00DB1BCE">
        <w:t xml:space="preserve"> does maintain a significant relationship with turnover in the Head of Government</w:t>
      </w:r>
      <w:r w:rsidR="00F327B2">
        <w:t xml:space="preserve"> which is robust to the inclusion of country and year fixed effects.</w:t>
      </w:r>
      <w:r w:rsidR="00495807">
        <w:t xml:space="preserve"> Such a change in the governor implies </w:t>
      </w:r>
      <w:r w:rsidR="00096C40">
        <w:t xml:space="preserve">an increase of 0.156 points on the </w:t>
      </w:r>
      <w:proofErr w:type="spellStart"/>
      <w:r w:rsidR="00096C40">
        <w:t>VDem</w:t>
      </w:r>
      <w:proofErr w:type="spellEnd"/>
      <w:r w:rsidR="00096C40">
        <w:t xml:space="preserve"> index.</w:t>
      </w:r>
      <w:r w:rsidR="0008325B">
        <w:t xml:space="preserve"> Adding to this result is significant evidence that </w:t>
      </w:r>
      <w:r w:rsidR="001C0B25">
        <w:t>longer times in office for central bank governors are related to lower chances of change in the head of government</w:t>
      </w:r>
      <w:r w:rsidR="00DC3BB4">
        <w:t>.</w:t>
      </w:r>
    </w:p>
    <w:tbl>
      <w:tblPr>
        <w:tblW w:w="0" w:type="auto"/>
        <w:tblLayout w:type="fixed"/>
        <w:tblLook w:val="0000" w:firstRow="0" w:lastRow="0" w:firstColumn="0" w:lastColumn="0" w:noHBand="0" w:noVBand="0"/>
      </w:tblPr>
      <w:tblGrid>
        <w:gridCol w:w="1656"/>
        <w:gridCol w:w="2016"/>
        <w:gridCol w:w="2016"/>
      </w:tblGrid>
      <w:tr w:rsidR="003C5C8C" w14:paraId="38D64B20" w14:textId="77777777" w:rsidTr="00005463">
        <w:trPr>
          <w:trHeight w:val="70"/>
        </w:trPr>
        <w:tc>
          <w:tcPr>
            <w:tcW w:w="1656" w:type="dxa"/>
            <w:tcBorders>
              <w:top w:val="single" w:sz="4" w:space="0" w:color="auto"/>
              <w:left w:val="nil"/>
              <w:bottom w:val="nil"/>
              <w:right w:val="nil"/>
            </w:tcBorders>
          </w:tcPr>
          <w:p w14:paraId="62A26DF0"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0C60726C"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B1251BA"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C5C8C" w14:paraId="3D66746E" w14:textId="77777777" w:rsidTr="00005463">
        <w:tc>
          <w:tcPr>
            <w:tcW w:w="1656" w:type="dxa"/>
            <w:tcBorders>
              <w:top w:val="nil"/>
              <w:left w:val="nil"/>
              <w:bottom w:val="nil"/>
              <w:right w:val="nil"/>
            </w:tcBorders>
          </w:tcPr>
          <w:p w14:paraId="100CDC86"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874C89C"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c>
          <w:tcPr>
            <w:tcW w:w="2016" w:type="dxa"/>
            <w:tcBorders>
              <w:top w:val="nil"/>
              <w:left w:val="nil"/>
              <w:bottom w:val="nil"/>
              <w:right w:val="nil"/>
            </w:tcBorders>
          </w:tcPr>
          <w:p w14:paraId="1340F0E6"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r>
      <w:tr w:rsidR="003C5C8C" w14:paraId="5B820A51" w14:textId="77777777" w:rsidTr="00005463">
        <w:tc>
          <w:tcPr>
            <w:tcW w:w="1656" w:type="dxa"/>
            <w:tcBorders>
              <w:top w:val="single" w:sz="4" w:space="0" w:color="auto"/>
              <w:left w:val="nil"/>
              <w:bottom w:val="nil"/>
              <w:right w:val="nil"/>
            </w:tcBorders>
          </w:tcPr>
          <w:p w14:paraId="1E8D87BD"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irregtd</w:t>
            </w:r>
            <w:proofErr w:type="spellEnd"/>
          </w:p>
        </w:tc>
        <w:tc>
          <w:tcPr>
            <w:tcW w:w="2016" w:type="dxa"/>
            <w:tcBorders>
              <w:top w:val="single" w:sz="4" w:space="0" w:color="auto"/>
              <w:left w:val="nil"/>
              <w:bottom w:val="nil"/>
              <w:right w:val="nil"/>
            </w:tcBorders>
          </w:tcPr>
          <w:p w14:paraId="369D2717"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5F1777F"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0.156</w:t>
            </w:r>
            <w:r>
              <w:rPr>
                <w:rFonts w:ascii="Times New Roman" w:hAnsi="Times New Roman" w:cs="Times New Roman"/>
                <w:sz w:val="24"/>
                <w:szCs w:val="24"/>
                <w:vertAlign w:val="superscript"/>
              </w:rPr>
              <w:t>*</w:t>
            </w:r>
          </w:p>
        </w:tc>
      </w:tr>
      <w:tr w:rsidR="003C5C8C" w14:paraId="490511FF" w14:textId="77777777" w:rsidTr="00005463">
        <w:tc>
          <w:tcPr>
            <w:tcW w:w="1656" w:type="dxa"/>
            <w:tcBorders>
              <w:top w:val="nil"/>
              <w:left w:val="nil"/>
              <w:bottom w:val="nil"/>
              <w:right w:val="nil"/>
            </w:tcBorders>
          </w:tcPr>
          <w:p w14:paraId="26D2B4B2"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6AE062"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(3.43)</w:t>
            </w:r>
          </w:p>
        </w:tc>
        <w:tc>
          <w:tcPr>
            <w:tcW w:w="2016" w:type="dxa"/>
            <w:tcBorders>
              <w:top w:val="nil"/>
              <w:left w:val="nil"/>
              <w:bottom w:val="nil"/>
              <w:right w:val="nil"/>
            </w:tcBorders>
          </w:tcPr>
          <w:p w14:paraId="2B2F19FF"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w:t>
            </w:r>
          </w:p>
        </w:tc>
      </w:tr>
      <w:tr w:rsidR="003C5C8C" w14:paraId="7081415C" w14:textId="77777777" w:rsidTr="00005463">
        <w:tc>
          <w:tcPr>
            <w:tcW w:w="1656" w:type="dxa"/>
            <w:tcBorders>
              <w:top w:val="nil"/>
              <w:left w:val="nil"/>
              <w:bottom w:val="nil"/>
              <w:right w:val="nil"/>
            </w:tcBorders>
          </w:tcPr>
          <w:p w14:paraId="62902C9D"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00C8017"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9AD244"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r>
      <w:tr w:rsidR="003C5C8C" w14:paraId="1D83B680" w14:textId="77777777" w:rsidTr="00005463">
        <w:tc>
          <w:tcPr>
            <w:tcW w:w="1656" w:type="dxa"/>
            <w:tcBorders>
              <w:top w:val="nil"/>
              <w:left w:val="nil"/>
              <w:bottom w:val="nil"/>
              <w:right w:val="nil"/>
            </w:tcBorders>
          </w:tcPr>
          <w:p w14:paraId="29B54B47"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2B15A927"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9070625"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0.627</w:t>
            </w:r>
            <w:r>
              <w:rPr>
                <w:rFonts w:ascii="Times New Roman" w:hAnsi="Times New Roman" w:cs="Times New Roman"/>
                <w:sz w:val="24"/>
                <w:szCs w:val="24"/>
                <w:vertAlign w:val="superscript"/>
              </w:rPr>
              <w:t>***</w:t>
            </w:r>
          </w:p>
        </w:tc>
      </w:tr>
      <w:tr w:rsidR="003C5C8C" w14:paraId="24993C1D" w14:textId="77777777" w:rsidTr="00005463">
        <w:tc>
          <w:tcPr>
            <w:tcW w:w="1656" w:type="dxa"/>
            <w:tcBorders>
              <w:top w:val="nil"/>
              <w:left w:val="nil"/>
              <w:bottom w:val="single" w:sz="4" w:space="0" w:color="auto"/>
              <w:right w:val="nil"/>
            </w:tcBorders>
          </w:tcPr>
          <w:p w14:paraId="60FD061E"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65E0A0E3"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(27.68)</w:t>
            </w:r>
          </w:p>
        </w:tc>
        <w:tc>
          <w:tcPr>
            <w:tcW w:w="2016" w:type="dxa"/>
            <w:tcBorders>
              <w:top w:val="nil"/>
              <w:left w:val="nil"/>
              <w:bottom w:val="single" w:sz="4" w:space="0" w:color="auto"/>
              <w:right w:val="nil"/>
            </w:tcBorders>
          </w:tcPr>
          <w:p w14:paraId="75890532"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(69.40)</w:t>
            </w:r>
          </w:p>
        </w:tc>
      </w:tr>
      <w:tr w:rsidR="003C5C8C" w14:paraId="7A4D5703" w14:textId="77777777" w:rsidTr="00005463">
        <w:tc>
          <w:tcPr>
            <w:tcW w:w="1656" w:type="dxa"/>
            <w:tcBorders>
              <w:top w:val="nil"/>
              <w:left w:val="nil"/>
              <w:bottom w:val="single" w:sz="4" w:space="0" w:color="auto"/>
              <w:right w:val="nil"/>
            </w:tcBorders>
          </w:tcPr>
          <w:p w14:paraId="25A3DC35"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A43B586"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c>
          <w:tcPr>
            <w:tcW w:w="2016" w:type="dxa"/>
            <w:tcBorders>
              <w:top w:val="nil"/>
              <w:left w:val="nil"/>
              <w:bottom w:val="single" w:sz="4" w:space="0" w:color="auto"/>
              <w:right w:val="nil"/>
            </w:tcBorders>
          </w:tcPr>
          <w:p w14:paraId="3297881C"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r>
    </w:tbl>
    <w:p w14:paraId="040FFAD1" w14:textId="77777777" w:rsidR="003C5C8C" w:rsidRDefault="003C5C8C" w:rsidP="003C5C8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415C69D" w14:textId="77777777" w:rsidR="003C5C8C" w:rsidRDefault="003C5C8C" w:rsidP="003C5C8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CDA6D5C" w14:textId="7FDB97D5" w:rsidR="003C5C8C" w:rsidRDefault="003C5C8C" w:rsidP="00BF3A2C"/>
    <w:tbl>
      <w:tblPr>
        <w:tblW w:w="0" w:type="auto"/>
        <w:tblLayout w:type="fixed"/>
        <w:tblLook w:val="0000" w:firstRow="0" w:lastRow="0" w:firstColumn="0" w:lastColumn="0" w:noHBand="0" w:noVBand="0"/>
      </w:tblPr>
      <w:tblGrid>
        <w:gridCol w:w="1656"/>
        <w:gridCol w:w="2016"/>
        <w:gridCol w:w="2016"/>
      </w:tblGrid>
      <w:tr w:rsidR="0008325B" w14:paraId="57063864" w14:textId="77777777" w:rsidTr="00005463">
        <w:tc>
          <w:tcPr>
            <w:tcW w:w="1656" w:type="dxa"/>
            <w:tcBorders>
              <w:top w:val="single" w:sz="4" w:space="0" w:color="auto"/>
              <w:left w:val="nil"/>
              <w:bottom w:val="nil"/>
              <w:right w:val="nil"/>
            </w:tcBorders>
          </w:tcPr>
          <w:p w14:paraId="5262FB0B"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3A45C3BE"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21731556"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08325B" w14:paraId="7B7A663C" w14:textId="77777777" w:rsidTr="00005463">
        <w:tc>
          <w:tcPr>
            <w:tcW w:w="1656" w:type="dxa"/>
            <w:tcBorders>
              <w:top w:val="nil"/>
              <w:left w:val="nil"/>
              <w:bottom w:val="nil"/>
              <w:right w:val="nil"/>
            </w:tcBorders>
          </w:tcPr>
          <w:p w14:paraId="24AE3E5B"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B9ADD5C"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c>
          <w:tcPr>
            <w:tcW w:w="2016" w:type="dxa"/>
            <w:tcBorders>
              <w:top w:val="nil"/>
              <w:left w:val="nil"/>
              <w:bottom w:val="nil"/>
              <w:right w:val="nil"/>
            </w:tcBorders>
          </w:tcPr>
          <w:p w14:paraId="0F2AE406"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r>
      <w:tr w:rsidR="0008325B" w14:paraId="58798D37" w14:textId="77777777" w:rsidTr="00005463">
        <w:tc>
          <w:tcPr>
            <w:tcW w:w="1656" w:type="dxa"/>
            <w:tcBorders>
              <w:top w:val="single" w:sz="4" w:space="0" w:color="auto"/>
              <w:left w:val="nil"/>
              <w:bottom w:val="nil"/>
              <w:right w:val="nil"/>
            </w:tcBorders>
          </w:tcPr>
          <w:p w14:paraId="21B10482"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tinoff</w:t>
            </w:r>
            <w:proofErr w:type="spellEnd"/>
          </w:p>
        </w:tc>
        <w:tc>
          <w:tcPr>
            <w:tcW w:w="2016" w:type="dxa"/>
            <w:tcBorders>
              <w:top w:val="single" w:sz="4" w:space="0" w:color="auto"/>
              <w:left w:val="nil"/>
              <w:bottom w:val="nil"/>
              <w:right w:val="nil"/>
            </w:tcBorders>
          </w:tcPr>
          <w:p w14:paraId="1F06BAAF"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-0.0196</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60347BAD"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r>
              <w:rPr>
                <w:rFonts w:ascii="Times New Roman" w:hAnsi="Times New Roman" w:cs="Times New Roman"/>
                <w:sz w:val="24"/>
                <w:szCs w:val="24"/>
                <w:vertAlign w:val="superscript"/>
              </w:rPr>
              <w:t>*</w:t>
            </w:r>
          </w:p>
        </w:tc>
      </w:tr>
      <w:tr w:rsidR="0008325B" w14:paraId="691F5D66" w14:textId="77777777" w:rsidTr="00005463">
        <w:tc>
          <w:tcPr>
            <w:tcW w:w="1656" w:type="dxa"/>
            <w:tcBorders>
              <w:top w:val="nil"/>
              <w:left w:val="nil"/>
              <w:bottom w:val="nil"/>
              <w:right w:val="nil"/>
            </w:tcBorders>
          </w:tcPr>
          <w:p w14:paraId="4A2B4A00"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9C2C5BA"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(-4.18)</w:t>
            </w:r>
          </w:p>
        </w:tc>
        <w:tc>
          <w:tcPr>
            <w:tcW w:w="2016" w:type="dxa"/>
            <w:tcBorders>
              <w:top w:val="nil"/>
              <w:left w:val="nil"/>
              <w:bottom w:val="nil"/>
              <w:right w:val="nil"/>
            </w:tcBorders>
          </w:tcPr>
          <w:p w14:paraId="402867B5"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(-2.43)</w:t>
            </w:r>
          </w:p>
        </w:tc>
      </w:tr>
      <w:tr w:rsidR="0008325B" w14:paraId="3720B33D" w14:textId="77777777" w:rsidTr="00005463">
        <w:tc>
          <w:tcPr>
            <w:tcW w:w="1656" w:type="dxa"/>
            <w:tcBorders>
              <w:top w:val="nil"/>
              <w:left w:val="nil"/>
              <w:bottom w:val="nil"/>
              <w:right w:val="nil"/>
            </w:tcBorders>
          </w:tcPr>
          <w:p w14:paraId="734EF94E"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7BF0AB7"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70ADF2E"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r>
      <w:tr w:rsidR="0008325B" w14:paraId="0E171E14" w14:textId="77777777" w:rsidTr="00005463">
        <w:tc>
          <w:tcPr>
            <w:tcW w:w="1656" w:type="dxa"/>
            <w:tcBorders>
              <w:top w:val="nil"/>
              <w:left w:val="nil"/>
              <w:bottom w:val="nil"/>
              <w:right w:val="nil"/>
            </w:tcBorders>
          </w:tcPr>
          <w:p w14:paraId="7C890898"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01B9C77"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E4E54C7"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r>
              <w:rPr>
                <w:rFonts w:ascii="Times New Roman" w:hAnsi="Times New Roman" w:cs="Times New Roman"/>
                <w:sz w:val="24"/>
                <w:szCs w:val="24"/>
                <w:vertAlign w:val="superscript"/>
              </w:rPr>
              <w:t>***</w:t>
            </w:r>
          </w:p>
        </w:tc>
      </w:tr>
      <w:tr w:rsidR="0008325B" w14:paraId="7D758886" w14:textId="77777777" w:rsidTr="00005463">
        <w:tc>
          <w:tcPr>
            <w:tcW w:w="1656" w:type="dxa"/>
            <w:tcBorders>
              <w:top w:val="nil"/>
              <w:left w:val="nil"/>
              <w:bottom w:val="single" w:sz="4" w:space="0" w:color="auto"/>
              <w:right w:val="nil"/>
            </w:tcBorders>
          </w:tcPr>
          <w:p w14:paraId="27E99931"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7A6C1EB"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(25.23)</w:t>
            </w:r>
          </w:p>
        </w:tc>
        <w:tc>
          <w:tcPr>
            <w:tcW w:w="2016" w:type="dxa"/>
            <w:tcBorders>
              <w:top w:val="nil"/>
              <w:left w:val="nil"/>
              <w:bottom w:val="single" w:sz="4" w:space="0" w:color="auto"/>
              <w:right w:val="nil"/>
            </w:tcBorders>
          </w:tcPr>
          <w:p w14:paraId="636A3B65"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(27.51)</w:t>
            </w:r>
          </w:p>
        </w:tc>
      </w:tr>
      <w:tr w:rsidR="0008325B" w14:paraId="33E0CE6C" w14:textId="77777777" w:rsidTr="00005463">
        <w:tc>
          <w:tcPr>
            <w:tcW w:w="1656" w:type="dxa"/>
            <w:tcBorders>
              <w:top w:val="nil"/>
              <w:left w:val="nil"/>
              <w:bottom w:val="single" w:sz="4" w:space="0" w:color="auto"/>
              <w:right w:val="nil"/>
            </w:tcBorders>
          </w:tcPr>
          <w:p w14:paraId="21038008"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E53766B"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1764</w:t>
            </w:r>
          </w:p>
        </w:tc>
        <w:tc>
          <w:tcPr>
            <w:tcW w:w="2016" w:type="dxa"/>
            <w:tcBorders>
              <w:top w:val="nil"/>
              <w:left w:val="nil"/>
              <w:bottom w:val="single" w:sz="4" w:space="0" w:color="auto"/>
              <w:right w:val="nil"/>
            </w:tcBorders>
          </w:tcPr>
          <w:p w14:paraId="02F2B39A"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1764</w:t>
            </w:r>
          </w:p>
        </w:tc>
      </w:tr>
    </w:tbl>
    <w:p w14:paraId="525BD6E8" w14:textId="77777777" w:rsidR="0008325B" w:rsidRDefault="0008325B" w:rsidP="0008325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85072AD" w14:textId="77777777" w:rsidR="0008325B" w:rsidRDefault="0008325B" w:rsidP="0008325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65CD4F8" w14:textId="77777777" w:rsidR="0008325B" w:rsidRDefault="0008325B" w:rsidP="00BF3A2C"/>
    <w:p w14:paraId="3EE1CF32" w14:textId="287B1A7B" w:rsidR="00096C40" w:rsidRDefault="00E12F39" w:rsidP="00BF3A2C">
      <w:r>
        <w:t>Reinhart and Rogoff’s exchange rate classifications do not have a meaningful relationship with head of government turnover.</w:t>
      </w:r>
    </w:p>
    <w:tbl>
      <w:tblPr>
        <w:tblW w:w="0" w:type="auto"/>
        <w:tblLayout w:type="fixed"/>
        <w:tblLook w:val="0000" w:firstRow="0" w:lastRow="0" w:firstColumn="0" w:lastColumn="0" w:noHBand="0" w:noVBand="0"/>
      </w:tblPr>
      <w:tblGrid>
        <w:gridCol w:w="1656"/>
        <w:gridCol w:w="2016"/>
        <w:gridCol w:w="2016"/>
      </w:tblGrid>
      <w:tr w:rsidR="00E12F39" w14:paraId="4D85ED5D" w14:textId="77777777" w:rsidTr="00005463">
        <w:tc>
          <w:tcPr>
            <w:tcW w:w="1656" w:type="dxa"/>
            <w:tcBorders>
              <w:top w:val="single" w:sz="4" w:space="0" w:color="auto"/>
              <w:left w:val="nil"/>
              <w:bottom w:val="nil"/>
              <w:right w:val="nil"/>
            </w:tcBorders>
          </w:tcPr>
          <w:p w14:paraId="6E32406B"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18DE29C2"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1DF4A5B6"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12F39" w14:paraId="204B1D73" w14:textId="77777777" w:rsidTr="00005463">
        <w:tc>
          <w:tcPr>
            <w:tcW w:w="1656" w:type="dxa"/>
            <w:tcBorders>
              <w:top w:val="nil"/>
              <w:left w:val="nil"/>
              <w:bottom w:val="nil"/>
              <w:right w:val="nil"/>
            </w:tcBorders>
          </w:tcPr>
          <w:p w14:paraId="25EFF61C"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1C1442D"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c>
          <w:tcPr>
            <w:tcW w:w="2016" w:type="dxa"/>
            <w:tcBorders>
              <w:top w:val="nil"/>
              <w:left w:val="nil"/>
              <w:bottom w:val="nil"/>
              <w:right w:val="nil"/>
            </w:tcBorders>
          </w:tcPr>
          <w:p w14:paraId="6E612812"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r>
      <w:tr w:rsidR="00E12F39" w14:paraId="214F02BC" w14:textId="77777777" w:rsidTr="00005463">
        <w:tc>
          <w:tcPr>
            <w:tcW w:w="1656" w:type="dxa"/>
            <w:tcBorders>
              <w:top w:val="single" w:sz="4" w:space="0" w:color="auto"/>
              <w:left w:val="nil"/>
              <w:bottom w:val="nil"/>
              <w:right w:val="nil"/>
            </w:tcBorders>
          </w:tcPr>
          <w:p w14:paraId="7CB58656"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5AEF8EF8"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0.00911</w:t>
            </w:r>
          </w:p>
        </w:tc>
        <w:tc>
          <w:tcPr>
            <w:tcW w:w="2016" w:type="dxa"/>
            <w:tcBorders>
              <w:top w:val="single" w:sz="4" w:space="0" w:color="auto"/>
              <w:left w:val="nil"/>
              <w:bottom w:val="nil"/>
              <w:right w:val="nil"/>
            </w:tcBorders>
          </w:tcPr>
          <w:p w14:paraId="334CB881"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0.00882</w:t>
            </w:r>
          </w:p>
        </w:tc>
      </w:tr>
      <w:tr w:rsidR="00E12F39" w14:paraId="4EBE9D18" w14:textId="77777777" w:rsidTr="00005463">
        <w:tc>
          <w:tcPr>
            <w:tcW w:w="1656" w:type="dxa"/>
            <w:tcBorders>
              <w:top w:val="nil"/>
              <w:left w:val="nil"/>
              <w:bottom w:val="nil"/>
              <w:right w:val="nil"/>
            </w:tcBorders>
          </w:tcPr>
          <w:p w14:paraId="6F289FEA"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48BC800"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w:t>
            </w:r>
          </w:p>
        </w:tc>
        <w:tc>
          <w:tcPr>
            <w:tcW w:w="2016" w:type="dxa"/>
            <w:tcBorders>
              <w:top w:val="nil"/>
              <w:left w:val="nil"/>
              <w:bottom w:val="nil"/>
              <w:right w:val="nil"/>
            </w:tcBorders>
          </w:tcPr>
          <w:p w14:paraId="01846260"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E12F39" w14:paraId="0BD39D1E" w14:textId="77777777" w:rsidTr="00005463">
        <w:tc>
          <w:tcPr>
            <w:tcW w:w="1656" w:type="dxa"/>
            <w:tcBorders>
              <w:top w:val="nil"/>
              <w:left w:val="nil"/>
              <w:bottom w:val="nil"/>
              <w:right w:val="nil"/>
            </w:tcBorders>
          </w:tcPr>
          <w:p w14:paraId="019D7F9C"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235331B"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DF64577"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r>
      <w:tr w:rsidR="00E12F39" w14:paraId="21A455B2" w14:textId="77777777" w:rsidTr="00005463">
        <w:tc>
          <w:tcPr>
            <w:tcW w:w="1656" w:type="dxa"/>
            <w:tcBorders>
              <w:top w:val="nil"/>
              <w:left w:val="nil"/>
              <w:bottom w:val="nil"/>
              <w:right w:val="nil"/>
            </w:tcBorders>
          </w:tcPr>
          <w:p w14:paraId="503F508A"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2801AF04"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3A3E566"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0.563</w:t>
            </w:r>
            <w:r>
              <w:rPr>
                <w:rFonts w:ascii="Times New Roman" w:hAnsi="Times New Roman" w:cs="Times New Roman"/>
                <w:sz w:val="24"/>
                <w:szCs w:val="24"/>
                <w:vertAlign w:val="superscript"/>
              </w:rPr>
              <w:t>***</w:t>
            </w:r>
          </w:p>
        </w:tc>
      </w:tr>
      <w:tr w:rsidR="00E12F39" w14:paraId="3B722083" w14:textId="77777777" w:rsidTr="00005463">
        <w:tc>
          <w:tcPr>
            <w:tcW w:w="1656" w:type="dxa"/>
            <w:tcBorders>
              <w:top w:val="nil"/>
              <w:left w:val="nil"/>
              <w:bottom w:val="single" w:sz="4" w:space="0" w:color="auto"/>
              <w:right w:val="nil"/>
            </w:tcBorders>
          </w:tcPr>
          <w:p w14:paraId="387846C3"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793F6A0C"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(15.04)</w:t>
            </w:r>
          </w:p>
        </w:tc>
        <w:tc>
          <w:tcPr>
            <w:tcW w:w="2016" w:type="dxa"/>
            <w:tcBorders>
              <w:top w:val="nil"/>
              <w:left w:val="nil"/>
              <w:bottom w:val="single" w:sz="4" w:space="0" w:color="auto"/>
              <w:right w:val="nil"/>
            </w:tcBorders>
          </w:tcPr>
          <w:p w14:paraId="10D44BF1"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(13.78)</w:t>
            </w:r>
          </w:p>
        </w:tc>
      </w:tr>
      <w:tr w:rsidR="00E12F39" w14:paraId="6B7F4A97" w14:textId="77777777" w:rsidTr="00005463">
        <w:tc>
          <w:tcPr>
            <w:tcW w:w="1656" w:type="dxa"/>
            <w:tcBorders>
              <w:top w:val="nil"/>
              <w:left w:val="nil"/>
              <w:bottom w:val="single" w:sz="4" w:space="0" w:color="auto"/>
              <w:right w:val="nil"/>
            </w:tcBorders>
          </w:tcPr>
          <w:p w14:paraId="245611C4"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4F44D52"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1859</w:t>
            </w:r>
          </w:p>
        </w:tc>
        <w:tc>
          <w:tcPr>
            <w:tcW w:w="2016" w:type="dxa"/>
            <w:tcBorders>
              <w:top w:val="nil"/>
              <w:left w:val="nil"/>
              <w:bottom w:val="single" w:sz="4" w:space="0" w:color="auto"/>
              <w:right w:val="nil"/>
            </w:tcBorders>
          </w:tcPr>
          <w:p w14:paraId="7B46F058"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1859</w:t>
            </w:r>
          </w:p>
        </w:tc>
      </w:tr>
    </w:tbl>
    <w:p w14:paraId="0D5D6EFB" w14:textId="77777777" w:rsidR="00E12F39" w:rsidRDefault="00E12F39" w:rsidP="00E12F3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4774ADB" w14:textId="77777777" w:rsidR="00E12F39" w:rsidRDefault="00E12F39" w:rsidP="00E12F3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3B4EC06" w14:textId="77777777" w:rsidR="0035655D" w:rsidRDefault="0035655D" w:rsidP="00BF3A2C"/>
    <w:p w14:paraId="62AEFD24" w14:textId="05811660" w:rsidR="00E12F39" w:rsidRDefault="0035655D" w:rsidP="00BF3A2C">
      <w:r>
        <w:t xml:space="preserve">A more striking and surprising result is the </w:t>
      </w:r>
      <w:r w:rsidR="00BA0AC7">
        <w:t xml:space="preserve">positive </w:t>
      </w:r>
      <w:r>
        <w:t xml:space="preserve">relationship between turnover of the head of state, rather than the head of government and the de jure CBI index. This relationship holds </w:t>
      </w:r>
      <w:r w:rsidR="00750AE1">
        <w:t>even in fixed effects models</w:t>
      </w:r>
      <w:r w:rsidR="00934386">
        <w:t>.</w:t>
      </w:r>
      <w:r w:rsidR="00441B15">
        <w:t xml:space="preserve"> But in this case, de </w:t>
      </w:r>
      <w:r w:rsidR="008B7EF7">
        <w:t xml:space="preserve">facto central bank independence has </w:t>
      </w:r>
      <w:r w:rsidR="005C1320">
        <w:t>a far weaker relationship.</w:t>
      </w:r>
      <w:r w:rsidR="00AB1333">
        <w:t xml:space="preserve"> With fixed effects</w:t>
      </w:r>
      <w:r w:rsidR="00A840F1">
        <w:t xml:space="preserve">, a floating exchange rate is linked to </w:t>
      </w:r>
      <w:r w:rsidR="00882E25">
        <w:t>higher head of state turnover.</w:t>
      </w:r>
    </w:p>
    <w:tbl>
      <w:tblPr>
        <w:tblW w:w="0" w:type="auto"/>
        <w:tblLayout w:type="fixed"/>
        <w:tblLook w:val="0000" w:firstRow="0" w:lastRow="0" w:firstColumn="0" w:lastColumn="0" w:noHBand="0" w:noVBand="0"/>
      </w:tblPr>
      <w:tblGrid>
        <w:gridCol w:w="1656"/>
        <w:gridCol w:w="2016"/>
        <w:gridCol w:w="2016"/>
      </w:tblGrid>
      <w:tr w:rsidR="00CC6D4E" w14:paraId="031B1802" w14:textId="77777777" w:rsidTr="00005463">
        <w:tc>
          <w:tcPr>
            <w:tcW w:w="1656" w:type="dxa"/>
            <w:tcBorders>
              <w:top w:val="single" w:sz="4" w:space="0" w:color="auto"/>
              <w:left w:val="nil"/>
              <w:bottom w:val="nil"/>
              <w:right w:val="nil"/>
            </w:tcBorders>
          </w:tcPr>
          <w:p w14:paraId="7F8BFCF1"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38739EE4"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46A355B0"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CC6D4E" w14:paraId="03CE93D0" w14:textId="77777777" w:rsidTr="00005463">
        <w:tc>
          <w:tcPr>
            <w:tcW w:w="1656" w:type="dxa"/>
            <w:tcBorders>
              <w:top w:val="nil"/>
              <w:left w:val="nil"/>
              <w:bottom w:val="nil"/>
              <w:right w:val="nil"/>
            </w:tcBorders>
          </w:tcPr>
          <w:p w14:paraId="4174BAC0"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2D302B"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c>
          <w:tcPr>
            <w:tcW w:w="2016" w:type="dxa"/>
            <w:tcBorders>
              <w:top w:val="nil"/>
              <w:left w:val="nil"/>
              <w:bottom w:val="nil"/>
              <w:right w:val="nil"/>
            </w:tcBorders>
          </w:tcPr>
          <w:p w14:paraId="7E9DB8FC"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r>
      <w:tr w:rsidR="00CC6D4E" w14:paraId="795ED989" w14:textId="77777777" w:rsidTr="00005463">
        <w:tc>
          <w:tcPr>
            <w:tcW w:w="1656" w:type="dxa"/>
            <w:tcBorders>
              <w:top w:val="single" w:sz="4" w:space="0" w:color="auto"/>
              <w:left w:val="nil"/>
              <w:bottom w:val="nil"/>
              <w:right w:val="nil"/>
            </w:tcBorders>
          </w:tcPr>
          <w:p w14:paraId="27093435"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27249E16"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2D17ABF"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0.238</w:t>
            </w:r>
            <w:r>
              <w:rPr>
                <w:rFonts w:ascii="Times New Roman" w:hAnsi="Times New Roman" w:cs="Times New Roman"/>
                <w:sz w:val="24"/>
                <w:szCs w:val="24"/>
                <w:vertAlign w:val="superscript"/>
              </w:rPr>
              <w:t>*</w:t>
            </w:r>
          </w:p>
        </w:tc>
      </w:tr>
      <w:tr w:rsidR="00CC6D4E" w14:paraId="2F03A86B" w14:textId="77777777" w:rsidTr="00005463">
        <w:tc>
          <w:tcPr>
            <w:tcW w:w="1656" w:type="dxa"/>
            <w:tcBorders>
              <w:top w:val="nil"/>
              <w:left w:val="nil"/>
              <w:bottom w:val="nil"/>
              <w:right w:val="nil"/>
            </w:tcBorders>
          </w:tcPr>
          <w:p w14:paraId="46CC490A"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61AF09B"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(5.77)</w:t>
            </w:r>
          </w:p>
        </w:tc>
        <w:tc>
          <w:tcPr>
            <w:tcW w:w="2016" w:type="dxa"/>
            <w:tcBorders>
              <w:top w:val="nil"/>
              <w:left w:val="nil"/>
              <w:bottom w:val="nil"/>
              <w:right w:val="nil"/>
            </w:tcBorders>
          </w:tcPr>
          <w:p w14:paraId="728D3A54"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w:t>
            </w:r>
          </w:p>
        </w:tc>
      </w:tr>
      <w:tr w:rsidR="00CC6D4E" w14:paraId="16FC07A5" w14:textId="77777777" w:rsidTr="00005463">
        <w:tc>
          <w:tcPr>
            <w:tcW w:w="1656" w:type="dxa"/>
            <w:tcBorders>
              <w:top w:val="nil"/>
              <w:left w:val="nil"/>
              <w:bottom w:val="nil"/>
              <w:right w:val="nil"/>
            </w:tcBorders>
          </w:tcPr>
          <w:p w14:paraId="3A60ED1C"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37515A7"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DCC7046"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r>
      <w:tr w:rsidR="00CC6D4E" w14:paraId="6F4735DF" w14:textId="77777777" w:rsidTr="00005463">
        <w:tc>
          <w:tcPr>
            <w:tcW w:w="1656" w:type="dxa"/>
            <w:tcBorders>
              <w:top w:val="nil"/>
              <w:left w:val="nil"/>
              <w:bottom w:val="nil"/>
              <w:right w:val="nil"/>
            </w:tcBorders>
          </w:tcPr>
          <w:p w14:paraId="5DBE1317"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5FEF4480"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0.0832</w:t>
            </w:r>
          </w:p>
        </w:tc>
        <w:tc>
          <w:tcPr>
            <w:tcW w:w="2016" w:type="dxa"/>
            <w:tcBorders>
              <w:top w:val="nil"/>
              <w:left w:val="nil"/>
              <w:bottom w:val="nil"/>
              <w:right w:val="nil"/>
            </w:tcBorders>
          </w:tcPr>
          <w:p w14:paraId="7923D8F5"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0.250</w:t>
            </w:r>
            <w:r>
              <w:rPr>
                <w:rFonts w:ascii="Times New Roman" w:hAnsi="Times New Roman" w:cs="Times New Roman"/>
                <w:sz w:val="24"/>
                <w:szCs w:val="24"/>
                <w:vertAlign w:val="superscript"/>
              </w:rPr>
              <w:t>***</w:t>
            </w:r>
          </w:p>
        </w:tc>
      </w:tr>
      <w:tr w:rsidR="00CC6D4E" w14:paraId="52C175B3" w14:textId="77777777" w:rsidTr="00005463">
        <w:tc>
          <w:tcPr>
            <w:tcW w:w="1656" w:type="dxa"/>
            <w:tcBorders>
              <w:top w:val="nil"/>
              <w:left w:val="nil"/>
              <w:bottom w:val="single" w:sz="4" w:space="0" w:color="auto"/>
              <w:right w:val="nil"/>
            </w:tcBorders>
          </w:tcPr>
          <w:p w14:paraId="19EAAA6B"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5A988ED4"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w:t>
            </w:r>
          </w:p>
        </w:tc>
        <w:tc>
          <w:tcPr>
            <w:tcW w:w="2016" w:type="dxa"/>
            <w:tcBorders>
              <w:top w:val="nil"/>
              <w:left w:val="nil"/>
              <w:bottom w:val="single" w:sz="4" w:space="0" w:color="auto"/>
              <w:right w:val="nil"/>
            </w:tcBorders>
          </w:tcPr>
          <w:p w14:paraId="29AC518E"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(4.27)</w:t>
            </w:r>
          </w:p>
        </w:tc>
      </w:tr>
      <w:tr w:rsidR="00CC6D4E" w14:paraId="4171D111" w14:textId="77777777" w:rsidTr="00005463">
        <w:tc>
          <w:tcPr>
            <w:tcW w:w="1656" w:type="dxa"/>
            <w:tcBorders>
              <w:top w:val="nil"/>
              <w:left w:val="nil"/>
              <w:bottom w:val="single" w:sz="4" w:space="0" w:color="auto"/>
              <w:right w:val="nil"/>
            </w:tcBorders>
          </w:tcPr>
          <w:p w14:paraId="62CD27F2"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73825989"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1467</w:t>
            </w:r>
          </w:p>
        </w:tc>
        <w:tc>
          <w:tcPr>
            <w:tcW w:w="2016" w:type="dxa"/>
            <w:tcBorders>
              <w:top w:val="nil"/>
              <w:left w:val="nil"/>
              <w:bottom w:val="single" w:sz="4" w:space="0" w:color="auto"/>
              <w:right w:val="nil"/>
            </w:tcBorders>
          </w:tcPr>
          <w:p w14:paraId="6AB1C8D0"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1467</w:t>
            </w:r>
          </w:p>
        </w:tc>
      </w:tr>
    </w:tbl>
    <w:p w14:paraId="466E5C88" w14:textId="77777777" w:rsidR="00CC6D4E" w:rsidRDefault="00CC6D4E" w:rsidP="00CC6D4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2E0A1B4" w14:textId="02A65D18" w:rsidR="00CC6D4E" w:rsidRDefault="00CC6D4E" w:rsidP="00CC6D4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34E17D1" w14:textId="77777777" w:rsidR="00441B15" w:rsidRDefault="00441B15" w:rsidP="00CC6D4E">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441B15" w14:paraId="35CB38D5" w14:textId="77777777" w:rsidTr="00005463">
        <w:tc>
          <w:tcPr>
            <w:tcW w:w="1656" w:type="dxa"/>
            <w:tcBorders>
              <w:top w:val="single" w:sz="4" w:space="0" w:color="auto"/>
              <w:left w:val="nil"/>
              <w:bottom w:val="nil"/>
              <w:right w:val="nil"/>
            </w:tcBorders>
          </w:tcPr>
          <w:p w14:paraId="3768B12E"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4661F0A7"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365A0053"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41B15" w14:paraId="76F04190" w14:textId="77777777" w:rsidTr="00005463">
        <w:tc>
          <w:tcPr>
            <w:tcW w:w="1656" w:type="dxa"/>
            <w:tcBorders>
              <w:top w:val="nil"/>
              <w:left w:val="nil"/>
              <w:bottom w:val="nil"/>
              <w:right w:val="nil"/>
            </w:tcBorders>
          </w:tcPr>
          <w:p w14:paraId="5050248F"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D977258"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c>
          <w:tcPr>
            <w:tcW w:w="2016" w:type="dxa"/>
            <w:tcBorders>
              <w:top w:val="nil"/>
              <w:left w:val="nil"/>
              <w:bottom w:val="nil"/>
              <w:right w:val="nil"/>
            </w:tcBorders>
          </w:tcPr>
          <w:p w14:paraId="260A5F21"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r>
      <w:tr w:rsidR="00441B15" w14:paraId="67D05739" w14:textId="77777777" w:rsidTr="00005463">
        <w:tc>
          <w:tcPr>
            <w:tcW w:w="1656" w:type="dxa"/>
            <w:tcBorders>
              <w:top w:val="single" w:sz="4" w:space="0" w:color="auto"/>
              <w:left w:val="nil"/>
              <w:bottom w:val="nil"/>
              <w:right w:val="nil"/>
            </w:tcBorders>
          </w:tcPr>
          <w:p w14:paraId="7A102393"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irregtd</w:t>
            </w:r>
            <w:proofErr w:type="spellEnd"/>
          </w:p>
        </w:tc>
        <w:tc>
          <w:tcPr>
            <w:tcW w:w="2016" w:type="dxa"/>
            <w:tcBorders>
              <w:top w:val="single" w:sz="4" w:space="0" w:color="auto"/>
              <w:left w:val="nil"/>
              <w:bottom w:val="nil"/>
              <w:right w:val="nil"/>
            </w:tcBorders>
          </w:tcPr>
          <w:p w14:paraId="5831BEC1"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076FD1CD"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0.0525</w:t>
            </w:r>
          </w:p>
        </w:tc>
      </w:tr>
      <w:tr w:rsidR="00441B15" w14:paraId="7CA35898" w14:textId="77777777" w:rsidTr="00005463">
        <w:tc>
          <w:tcPr>
            <w:tcW w:w="1656" w:type="dxa"/>
            <w:tcBorders>
              <w:top w:val="nil"/>
              <w:left w:val="nil"/>
              <w:bottom w:val="nil"/>
              <w:right w:val="nil"/>
            </w:tcBorders>
          </w:tcPr>
          <w:p w14:paraId="3EAF16ED"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0F472E"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2016" w:type="dxa"/>
            <w:tcBorders>
              <w:top w:val="nil"/>
              <w:left w:val="nil"/>
              <w:bottom w:val="nil"/>
              <w:right w:val="nil"/>
            </w:tcBorders>
          </w:tcPr>
          <w:p w14:paraId="0B2A9BB0"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r>
      <w:tr w:rsidR="00441B15" w14:paraId="1A8881CB" w14:textId="77777777" w:rsidTr="00005463">
        <w:tc>
          <w:tcPr>
            <w:tcW w:w="1656" w:type="dxa"/>
            <w:tcBorders>
              <w:top w:val="nil"/>
              <w:left w:val="nil"/>
              <w:bottom w:val="nil"/>
              <w:right w:val="nil"/>
            </w:tcBorders>
          </w:tcPr>
          <w:p w14:paraId="218ABF20"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2D2E47F"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F94CCFA"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r>
      <w:tr w:rsidR="00441B15" w14:paraId="3C3A58BB" w14:textId="77777777" w:rsidTr="00005463">
        <w:tc>
          <w:tcPr>
            <w:tcW w:w="1656" w:type="dxa"/>
            <w:tcBorders>
              <w:top w:val="nil"/>
              <w:left w:val="nil"/>
              <w:bottom w:val="nil"/>
              <w:right w:val="nil"/>
            </w:tcBorders>
          </w:tcPr>
          <w:p w14:paraId="01E7FC9A"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BD247BC"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D16BC16"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0.367</w:t>
            </w:r>
            <w:r>
              <w:rPr>
                <w:rFonts w:ascii="Times New Roman" w:hAnsi="Times New Roman" w:cs="Times New Roman"/>
                <w:sz w:val="24"/>
                <w:szCs w:val="24"/>
                <w:vertAlign w:val="superscript"/>
              </w:rPr>
              <w:t>***</w:t>
            </w:r>
          </w:p>
        </w:tc>
      </w:tr>
      <w:tr w:rsidR="00441B15" w14:paraId="407E1BFB" w14:textId="77777777" w:rsidTr="00005463">
        <w:tc>
          <w:tcPr>
            <w:tcW w:w="1656" w:type="dxa"/>
            <w:tcBorders>
              <w:top w:val="nil"/>
              <w:left w:val="nil"/>
              <w:bottom w:val="single" w:sz="4" w:space="0" w:color="auto"/>
              <w:right w:val="nil"/>
            </w:tcBorders>
          </w:tcPr>
          <w:p w14:paraId="256AD560"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0E889CBE"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(19.12)</w:t>
            </w:r>
          </w:p>
        </w:tc>
        <w:tc>
          <w:tcPr>
            <w:tcW w:w="2016" w:type="dxa"/>
            <w:tcBorders>
              <w:top w:val="nil"/>
              <w:left w:val="nil"/>
              <w:bottom w:val="single" w:sz="4" w:space="0" w:color="auto"/>
              <w:right w:val="nil"/>
            </w:tcBorders>
          </w:tcPr>
          <w:p w14:paraId="29F1E8D6"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(47.18)</w:t>
            </w:r>
          </w:p>
        </w:tc>
      </w:tr>
      <w:tr w:rsidR="00441B15" w14:paraId="1B545D1C" w14:textId="77777777" w:rsidTr="00005463">
        <w:tc>
          <w:tcPr>
            <w:tcW w:w="1656" w:type="dxa"/>
            <w:tcBorders>
              <w:top w:val="nil"/>
              <w:left w:val="nil"/>
              <w:bottom w:val="single" w:sz="4" w:space="0" w:color="auto"/>
              <w:right w:val="nil"/>
            </w:tcBorders>
          </w:tcPr>
          <w:p w14:paraId="4104358A"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lastRenderedPageBreak/>
              <w:t>N</w:t>
            </w:r>
          </w:p>
        </w:tc>
        <w:tc>
          <w:tcPr>
            <w:tcW w:w="2016" w:type="dxa"/>
            <w:tcBorders>
              <w:top w:val="nil"/>
              <w:left w:val="nil"/>
              <w:bottom w:val="single" w:sz="4" w:space="0" w:color="auto"/>
              <w:right w:val="nil"/>
            </w:tcBorders>
          </w:tcPr>
          <w:p w14:paraId="5986C24D"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c>
          <w:tcPr>
            <w:tcW w:w="2016" w:type="dxa"/>
            <w:tcBorders>
              <w:top w:val="nil"/>
              <w:left w:val="nil"/>
              <w:bottom w:val="single" w:sz="4" w:space="0" w:color="auto"/>
              <w:right w:val="nil"/>
            </w:tcBorders>
          </w:tcPr>
          <w:p w14:paraId="21D8F5A4"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r>
    </w:tbl>
    <w:p w14:paraId="0E84CE6C" w14:textId="77777777" w:rsidR="00441B15" w:rsidRDefault="00441B15" w:rsidP="00441B1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7EFB125" w14:textId="77777777" w:rsidR="00441B15" w:rsidRDefault="00441B15" w:rsidP="00441B1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16B9CD9" w14:textId="77777777" w:rsidR="00441B15" w:rsidRDefault="00441B15" w:rsidP="00441B15">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1656"/>
        <w:gridCol w:w="2016"/>
        <w:gridCol w:w="2016"/>
      </w:tblGrid>
      <w:tr w:rsidR="00AB1333" w14:paraId="38E53D07" w14:textId="77777777" w:rsidTr="00005463">
        <w:tc>
          <w:tcPr>
            <w:tcW w:w="1656" w:type="dxa"/>
            <w:tcBorders>
              <w:top w:val="single" w:sz="4" w:space="0" w:color="auto"/>
              <w:left w:val="nil"/>
              <w:bottom w:val="nil"/>
              <w:right w:val="nil"/>
            </w:tcBorders>
          </w:tcPr>
          <w:p w14:paraId="2ADC622D"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63AF29A5"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51DD7BDA"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AB1333" w14:paraId="44685D53" w14:textId="77777777" w:rsidTr="00005463">
        <w:tc>
          <w:tcPr>
            <w:tcW w:w="1656" w:type="dxa"/>
            <w:tcBorders>
              <w:top w:val="nil"/>
              <w:left w:val="nil"/>
              <w:bottom w:val="nil"/>
              <w:right w:val="nil"/>
            </w:tcBorders>
          </w:tcPr>
          <w:p w14:paraId="4D62FF6C"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EDAFD1"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c>
          <w:tcPr>
            <w:tcW w:w="2016" w:type="dxa"/>
            <w:tcBorders>
              <w:top w:val="nil"/>
              <w:left w:val="nil"/>
              <w:bottom w:val="nil"/>
              <w:right w:val="nil"/>
            </w:tcBorders>
          </w:tcPr>
          <w:p w14:paraId="5E7EE01B"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r>
      <w:tr w:rsidR="00AB1333" w14:paraId="33C7ADB2" w14:textId="77777777" w:rsidTr="00005463">
        <w:tc>
          <w:tcPr>
            <w:tcW w:w="1656" w:type="dxa"/>
            <w:tcBorders>
              <w:top w:val="single" w:sz="4" w:space="0" w:color="auto"/>
              <w:left w:val="nil"/>
              <w:bottom w:val="nil"/>
              <w:right w:val="nil"/>
            </w:tcBorders>
          </w:tcPr>
          <w:p w14:paraId="72D11A1B"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5AE37FA8"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0.00797</w:t>
            </w:r>
          </w:p>
        </w:tc>
        <w:tc>
          <w:tcPr>
            <w:tcW w:w="2016" w:type="dxa"/>
            <w:tcBorders>
              <w:top w:val="single" w:sz="4" w:space="0" w:color="auto"/>
              <w:left w:val="nil"/>
              <w:bottom w:val="nil"/>
              <w:right w:val="nil"/>
            </w:tcBorders>
          </w:tcPr>
          <w:p w14:paraId="64A547FD"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0.0138</w:t>
            </w:r>
            <w:r>
              <w:rPr>
                <w:rFonts w:ascii="Times New Roman" w:hAnsi="Times New Roman" w:cs="Times New Roman"/>
                <w:sz w:val="24"/>
                <w:szCs w:val="24"/>
                <w:vertAlign w:val="superscript"/>
              </w:rPr>
              <w:t>*</w:t>
            </w:r>
          </w:p>
        </w:tc>
      </w:tr>
      <w:tr w:rsidR="00AB1333" w14:paraId="1A2A8CEC" w14:textId="77777777" w:rsidTr="00005463">
        <w:tc>
          <w:tcPr>
            <w:tcW w:w="1656" w:type="dxa"/>
            <w:tcBorders>
              <w:top w:val="nil"/>
              <w:left w:val="nil"/>
              <w:bottom w:val="nil"/>
              <w:right w:val="nil"/>
            </w:tcBorders>
          </w:tcPr>
          <w:p w14:paraId="0E5F5803"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AC03677"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2016" w:type="dxa"/>
            <w:tcBorders>
              <w:top w:val="nil"/>
              <w:left w:val="nil"/>
              <w:bottom w:val="nil"/>
              <w:right w:val="nil"/>
            </w:tcBorders>
          </w:tcPr>
          <w:p w14:paraId="3AF66918"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r>
      <w:tr w:rsidR="00AB1333" w14:paraId="143FFCEC" w14:textId="77777777" w:rsidTr="00005463">
        <w:tc>
          <w:tcPr>
            <w:tcW w:w="1656" w:type="dxa"/>
            <w:tcBorders>
              <w:top w:val="nil"/>
              <w:left w:val="nil"/>
              <w:bottom w:val="nil"/>
              <w:right w:val="nil"/>
            </w:tcBorders>
          </w:tcPr>
          <w:p w14:paraId="6D6CECFC"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CC62AE"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F26CAC"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r>
      <w:tr w:rsidR="00AB1333" w14:paraId="194A88FA" w14:textId="77777777" w:rsidTr="00005463">
        <w:tc>
          <w:tcPr>
            <w:tcW w:w="1656" w:type="dxa"/>
            <w:tcBorders>
              <w:top w:val="nil"/>
              <w:left w:val="nil"/>
              <w:bottom w:val="nil"/>
              <w:right w:val="nil"/>
            </w:tcBorders>
          </w:tcPr>
          <w:p w14:paraId="75D69591"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4434BF7B"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0.325</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6A2A96D"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0.285</w:t>
            </w:r>
            <w:r>
              <w:rPr>
                <w:rFonts w:ascii="Times New Roman" w:hAnsi="Times New Roman" w:cs="Times New Roman"/>
                <w:sz w:val="24"/>
                <w:szCs w:val="24"/>
                <w:vertAlign w:val="superscript"/>
              </w:rPr>
              <w:t>***</w:t>
            </w:r>
          </w:p>
        </w:tc>
      </w:tr>
      <w:tr w:rsidR="00AB1333" w14:paraId="17CFD6AF" w14:textId="77777777" w:rsidTr="00005463">
        <w:tc>
          <w:tcPr>
            <w:tcW w:w="1656" w:type="dxa"/>
            <w:tcBorders>
              <w:top w:val="nil"/>
              <w:left w:val="nil"/>
              <w:bottom w:val="single" w:sz="4" w:space="0" w:color="auto"/>
              <w:right w:val="nil"/>
            </w:tcBorders>
          </w:tcPr>
          <w:p w14:paraId="5B759225"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8747F8A"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c>
          <w:tcPr>
            <w:tcW w:w="2016" w:type="dxa"/>
            <w:tcBorders>
              <w:top w:val="nil"/>
              <w:left w:val="nil"/>
              <w:bottom w:val="single" w:sz="4" w:space="0" w:color="auto"/>
              <w:right w:val="nil"/>
            </w:tcBorders>
          </w:tcPr>
          <w:p w14:paraId="384DB2C4"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(7.61)</w:t>
            </w:r>
          </w:p>
        </w:tc>
      </w:tr>
      <w:tr w:rsidR="00AB1333" w14:paraId="5E9B47CB" w14:textId="77777777" w:rsidTr="00005463">
        <w:tc>
          <w:tcPr>
            <w:tcW w:w="1656" w:type="dxa"/>
            <w:tcBorders>
              <w:top w:val="nil"/>
              <w:left w:val="nil"/>
              <w:bottom w:val="single" w:sz="4" w:space="0" w:color="auto"/>
              <w:right w:val="nil"/>
            </w:tcBorders>
          </w:tcPr>
          <w:p w14:paraId="1B6BA402"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0B7FAF8E"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1860</w:t>
            </w:r>
          </w:p>
        </w:tc>
        <w:tc>
          <w:tcPr>
            <w:tcW w:w="2016" w:type="dxa"/>
            <w:tcBorders>
              <w:top w:val="nil"/>
              <w:left w:val="nil"/>
              <w:bottom w:val="single" w:sz="4" w:space="0" w:color="auto"/>
              <w:right w:val="nil"/>
            </w:tcBorders>
          </w:tcPr>
          <w:p w14:paraId="3C7E915C"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1860</w:t>
            </w:r>
          </w:p>
        </w:tc>
      </w:tr>
    </w:tbl>
    <w:p w14:paraId="061E1AA1" w14:textId="77777777" w:rsidR="00AB1333" w:rsidRDefault="00AB1333" w:rsidP="00AB133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BF04AD5" w14:textId="77777777" w:rsidR="00AB1333" w:rsidRDefault="00AB1333" w:rsidP="00AB133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4857594" w14:textId="5C5E6750" w:rsidR="00882E25" w:rsidRDefault="00882E25" w:rsidP="00BF3A2C"/>
    <w:p w14:paraId="37E04186" w14:textId="4A00D805" w:rsidR="00882E25" w:rsidRDefault="00882E25" w:rsidP="00BF3A2C">
      <w:r>
        <w:t xml:space="preserve">Finally, turning away from the executive branch </w:t>
      </w:r>
      <w:r w:rsidR="00FD4CCB">
        <w:t xml:space="preserve">and towards the legislative branch </w:t>
      </w:r>
      <w:r>
        <w:t>for the full sample</w:t>
      </w:r>
      <w:r w:rsidR="00FD4CCB">
        <w:t xml:space="preserve"> reveals even stronger results</w:t>
      </w:r>
      <w:r w:rsidR="00413A27">
        <w:t xml:space="preserve"> for a positive relationship</w:t>
      </w:r>
      <w:r w:rsidR="00045B66">
        <w:t xml:space="preserve"> between de jure independence </w:t>
      </w:r>
      <w:r w:rsidR="007D5FCE">
        <w:t xml:space="preserve">and electoral </w:t>
      </w:r>
      <w:r w:rsidR="003167D2">
        <w:t>changes</w:t>
      </w:r>
      <w:r w:rsidR="00395453">
        <w:t xml:space="preserve">, and a negative relationship between de facto independence and </w:t>
      </w:r>
      <w:r w:rsidR="00AA5203">
        <w:t>changes.</w:t>
      </w:r>
      <w:r w:rsidR="00CD78BE">
        <w:t xml:space="preserve"> Exchange rate regimes are again insignificant.</w:t>
      </w:r>
    </w:p>
    <w:tbl>
      <w:tblPr>
        <w:tblW w:w="0" w:type="auto"/>
        <w:tblLayout w:type="fixed"/>
        <w:tblLook w:val="0000" w:firstRow="0" w:lastRow="0" w:firstColumn="0" w:lastColumn="0" w:noHBand="0" w:noVBand="0"/>
      </w:tblPr>
      <w:tblGrid>
        <w:gridCol w:w="1656"/>
        <w:gridCol w:w="2016"/>
        <w:gridCol w:w="2016"/>
      </w:tblGrid>
      <w:tr w:rsidR="00FD4CCB" w14:paraId="2360E571" w14:textId="77777777" w:rsidTr="00005463">
        <w:tc>
          <w:tcPr>
            <w:tcW w:w="1656" w:type="dxa"/>
            <w:tcBorders>
              <w:top w:val="single" w:sz="4" w:space="0" w:color="auto"/>
              <w:left w:val="nil"/>
              <w:bottom w:val="nil"/>
              <w:right w:val="nil"/>
            </w:tcBorders>
          </w:tcPr>
          <w:p w14:paraId="6074D3DB"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7CF07310"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2F7B2C58"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D4CCB" w14:paraId="65D4E649" w14:textId="77777777" w:rsidTr="00005463">
        <w:tc>
          <w:tcPr>
            <w:tcW w:w="1656" w:type="dxa"/>
            <w:tcBorders>
              <w:top w:val="nil"/>
              <w:left w:val="nil"/>
              <w:bottom w:val="nil"/>
              <w:right w:val="nil"/>
            </w:tcBorders>
          </w:tcPr>
          <w:p w14:paraId="574EDFBD"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7EA3EA3"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c>
          <w:tcPr>
            <w:tcW w:w="2016" w:type="dxa"/>
            <w:tcBorders>
              <w:top w:val="nil"/>
              <w:left w:val="nil"/>
              <w:bottom w:val="nil"/>
              <w:right w:val="nil"/>
            </w:tcBorders>
          </w:tcPr>
          <w:p w14:paraId="4071B90C"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r>
      <w:tr w:rsidR="00FD4CCB" w14:paraId="04294AF3" w14:textId="77777777" w:rsidTr="00005463">
        <w:tc>
          <w:tcPr>
            <w:tcW w:w="1656" w:type="dxa"/>
            <w:tcBorders>
              <w:top w:val="single" w:sz="4" w:space="0" w:color="auto"/>
              <w:left w:val="nil"/>
              <w:bottom w:val="nil"/>
              <w:right w:val="nil"/>
            </w:tcBorders>
          </w:tcPr>
          <w:p w14:paraId="3393720F"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3A8B86BC"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15BCB99C"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0.472</w:t>
            </w:r>
            <w:r>
              <w:rPr>
                <w:rFonts w:ascii="Times New Roman" w:hAnsi="Times New Roman" w:cs="Times New Roman"/>
                <w:sz w:val="24"/>
                <w:szCs w:val="24"/>
                <w:vertAlign w:val="superscript"/>
              </w:rPr>
              <w:t>*</w:t>
            </w:r>
          </w:p>
        </w:tc>
      </w:tr>
      <w:tr w:rsidR="00FD4CCB" w14:paraId="094B8195" w14:textId="77777777" w:rsidTr="00005463">
        <w:tc>
          <w:tcPr>
            <w:tcW w:w="1656" w:type="dxa"/>
            <w:tcBorders>
              <w:top w:val="nil"/>
              <w:left w:val="nil"/>
              <w:bottom w:val="nil"/>
              <w:right w:val="nil"/>
            </w:tcBorders>
          </w:tcPr>
          <w:p w14:paraId="3F2D0560"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D33F716"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(5.94)</w:t>
            </w:r>
          </w:p>
        </w:tc>
        <w:tc>
          <w:tcPr>
            <w:tcW w:w="2016" w:type="dxa"/>
            <w:tcBorders>
              <w:top w:val="nil"/>
              <w:left w:val="nil"/>
              <w:bottom w:val="nil"/>
              <w:right w:val="nil"/>
            </w:tcBorders>
          </w:tcPr>
          <w:p w14:paraId="0D9ADE36"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r>
      <w:tr w:rsidR="00FD4CCB" w14:paraId="32A56079" w14:textId="77777777" w:rsidTr="00005463">
        <w:tc>
          <w:tcPr>
            <w:tcW w:w="1656" w:type="dxa"/>
            <w:tcBorders>
              <w:top w:val="nil"/>
              <w:left w:val="nil"/>
              <w:bottom w:val="nil"/>
              <w:right w:val="nil"/>
            </w:tcBorders>
          </w:tcPr>
          <w:p w14:paraId="30B6DAF1"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1FA10A9"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15E1DAE"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r>
      <w:tr w:rsidR="00FD4CCB" w14:paraId="1716A00B" w14:textId="77777777" w:rsidTr="00005463">
        <w:tc>
          <w:tcPr>
            <w:tcW w:w="1656" w:type="dxa"/>
            <w:tcBorders>
              <w:top w:val="nil"/>
              <w:left w:val="nil"/>
              <w:bottom w:val="nil"/>
              <w:right w:val="nil"/>
            </w:tcBorders>
          </w:tcPr>
          <w:p w14:paraId="0D72C7A5"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0761B593"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A7F7775"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0.444</w:t>
            </w:r>
            <w:r>
              <w:rPr>
                <w:rFonts w:ascii="Times New Roman" w:hAnsi="Times New Roman" w:cs="Times New Roman"/>
                <w:sz w:val="24"/>
                <w:szCs w:val="24"/>
                <w:vertAlign w:val="superscript"/>
              </w:rPr>
              <w:t>***</w:t>
            </w:r>
          </w:p>
        </w:tc>
      </w:tr>
      <w:tr w:rsidR="00FD4CCB" w14:paraId="18B774D4" w14:textId="77777777" w:rsidTr="00005463">
        <w:tc>
          <w:tcPr>
            <w:tcW w:w="1656" w:type="dxa"/>
            <w:tcBorders>
              <w:top w:val="nil"/>
              <w:left w:val="nil"/>
              <w:bottom w:val="single" w:sz="4" w:space="0" w:color="auto"/>
              <w:right w:val="nil"/>
            </w:tcBorders>
          </w:tcPr>
          <w:p w14:paraId="5A0685FC"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74EF308"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(6.46)</w:t>
            </w:r>
          </w:p>
        </w:tc>
        <w:tc>
          <w:tcPr>
            <w:tcW w:w="2016" w:type="dxa"/>
            <w:tcBorders>
              <w:top w:val="nil"/>
              <w:left w:val="nil"/>
              <w:bottom w:val="single" w:sz="4" w:space="0" w:color="auto"/>
              <w:right w:val="nil"/>
            </w:tcBorders>
          </w:tcPr>
          <w:p w14:paraId="3ACE559E"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(4.83)</w:t>
            </w:r>
          </w:p>
        </w:tc>
      </w:tr>
      <w:tr w:rsidR="00FD4CCB" w14:paraId="50AE497D" w14:textId="77777777" w:rsidTr="00005463">
        <w:tc>
          <w:tcPr>
            <w:tcW w:w="1656" w:type="dxa"/>
            <w:tcBorders>
              <w:top w:val="nil"/>
              <w:left w:val="nil"/>
              <w:bottom w:val="single" w:sz="4" w:space="0" w:color="auto"/>
              <w:right w:val="nil"/>
            </w:tcBorders>
          </w:tcPr>
          <w:p w14:paraId="5109A81B"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7A82EB66"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1198</w:t>
            </w:r>
          </w:p>
        </w:tc>
        <w:tc>
          <w:tcPr>
            <w:tcW w:w="2016" w:type="dxa"/>
            <w:tcBorders>
              <w:top w:val="nil"/>
              <w:left w:val="nil"/>
              <w:bottom w:val="single" w:sz="4" w:space="0" w:color="auto"/>
              <w:right w:val="nil"/>
            </w:tcBorders>
          </w:tcPr>
          <w:p w14:paraId="0B8D8EDC"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1198</w:t>
            </w:r>
          </w:p>
        </w:tc>
      </w:tr>
    </w:tbl>
    <w:p w14:paraId="494629C2" w14:textId="77777777" w:rsidR="00FD4CCB" w:rsidRDefault="00FD4CCB" w:rsidP="00FD4CC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3BCE027" w14:textId="2F4C6E83" w:rsidR="00FD4CCB" w:rsidRDefault="00FD4CCB" w:rsidP="00FD4CC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2386D16" w14:textId="77777777" w:rsidR="00045B66" w:rsidRDefault="00045B66" w:rsidP="00FD4CCB">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045B66" w14:paraId="6C182CD7" w14:textId="77777777" w:rsidTr="00005463">
        <w:tc>
          <w:tcPr>
            <w:tcW w:w="1656" w:type="dxa"/>
            <w:tcBorders>
              <w:top w:val="single" w:sz="4" w:space="0" w:color="auto"/>
              <w:left w:val="nil"/>
              <w:bottom w:val="nil"/>
              <w:right w:val="nil"/>
            </w:tcBorders>
          </w:tcPr>
          <w:p w14:paraId="4AC9500D"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810DD50"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2A0710B1"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045B66" w14:paraId="4ADCC781" w14:textId="77777777" w:rsidTr="00005463">
        <w:tc>
          <w:tcPr>
            <w:tcW w:w="1656" w:type="dxa"/>
            <w:tcBorders>
              <w:top w:val="nil"/>
              <w:left w:val="nil"/>
              <w:bottom w:val="nil"/>
              <w:right w:val="nil"/>
            </w:tcBorders>
          </w:tcPr>
          <w:p w14:paraId="767D2C70"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B1EBA1A"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c>
          <w:tcPr>
            <w:tcW w:w="2016" w:type="dxa"/>
            <w:tcBorders>
              <w:top w:val="nil"/>
              <w:left w:val="nil"/>
              <w:bottom w:val="nil"/>
              <w:right w:val="nil"/>
            </w:tcBorders>
          </w:tcPr>
          <w:p w14:paraId="24D64333"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r>
      <w:tr w:rsidR="00045B66" w14:paraId="78FBAF3F" w14:textId="77777777" w:rsidTr="00005463">
        <w:tc>
          <w:tcPr>
            <w:tcW w:w="1656" w:type="dxa"/>
            <w:tcBorders>
              <w:top w:val="single" w:sz="4" w:space="0" w:color="auto"/>
              <w:left w:val="nil"/>
              <w:bottom w:val="nil"/>
              <w:right w:val="nil"/>
            </w:tcBorders>
          </w:tcPr>
          <w:p w14:paraId="12DE80C0"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irregtd</w:t>
            </w:r>
            <w:proofErr w:type="spellEnd"/>
          </w:p>
        </w:tc>
        <w:tc>
          <w:tcPr>
            <w:tcW w:w="2016" w:type="dxa"/>
            <w:tcBorders>
              <w:top w:val="single" w:sz="4" w:space="0" w:color="auto"/>
              <w:left w:val="nil"/>
              <w:bottom w:val="nil"/>
              <w:right w:val="nil"/>
            </w:tcBorders>
          </w:tcPr>
          <w:p w14:paraId="7CFDF3E7"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0.219</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3582E0ED"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0.219</w:t>
            </w:r>
            <w:r>
              <w:rPr>
                <w:rFonts w:ascii="Times New Roman" w:hAnsi="Times New Roman" w:cs="Times New Roman"/>
                <w:sz w:val="24"/>
                <w:szCs w:val="24"/>
                <w:vertAlign w:val="superscript"/>
              </w:rPr>
              <w:t>**</w:t>
            </w:r>
          </w:p>
        </w:tc>
      </w:tr>
      <w:tr w:rsidR="00045B66" w14:paraId="2EADDF18" w14:textId="77777777" w:rsidTr="00005463">
        <w:tc>
          <w:tcPr>
            <w:tcW w:w="1656" w:type="dxa"/>
            <w:tcBorders>
              <w:top w:val="nil"/>
              <w:left w:val="nil"/>
              <w:bottom w:val="nil"/>
              <w:right w:val="nil"/>
            </w:tcBorders>
          </w:tcPr>
          <w:p w14:paraId="6A7F0B34"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6DDCBE5"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2016" w:type="dxa"/>
            <w:tcBorders>
              <w:top w:val="nil"/>
              <w:left w:val="nil"/>
              <w:bottom w:val="nil"/>
              <w:right w:val="nil"/>
            </w:tcBorders>
          </w:tcPr>
          <w:p w14:paraId="25E3C94A"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r>
      <w:tr w:rsidR="00045B66" w14:paraId="5419484C" w14:textId="77777777" w:rsidTr="00005463">
        <w:tc>
          <w:tcPr>
            <w:tcW w:w="1656" w:type="dxa"/>
            <w:tcBorders>
              <w:top w:val="nil"/>
              <w:left w:val="nil"/>
              <w:bottom w:val="nil"/>
              <w:right w:val="nil"/>
            </w:tcBorders>
          </w:tcPr>
          <w:p w14:paraId="5F5472EF"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5CA2526"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6FFF2FA"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r>
      <w:tr w:rsidR="00045B66" w14:paraId="2ACC9F1B" w14:textId="77777777" w:rsidTr="00005463">
        <w:tc>
          <w:tcPr>
            <w:tcW w:w="1656" w:type="dxa"/>
            <w:tcBorders>
              <w:top w:val="nil"/>
              <w:left w:val="nil"/>
              <w:bottom w:val="nil"/>
              <w:right w:val="nil"/>
            </w:tcBorders>
          </w:tcPr>
          <w:p w14:paraId="68F75F9A"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751B8889"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C51D7B2"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0.676</w:t>
            </w:r>
            <w:r>
              <w:rPr>
                <w:rFonts w:ascii="Times New Roman" w:hAnsi="Times New Roman" w:cs="Times New Roman"/>
                <w:sz w:val="24"/>
                <w:szCs w:val="24"/>
                <w:vertAlign w:val="superscript"/>
              </w:rPr>
              <w:t>***</w:t>
            </w:r>
          </w:p>
        </w:tc>
      </w:tr>
      <w:tr w:rsidR="00045B66" w14:paraId="1AE42435" w14:textId="77777777" w:rsidTr="00005463">
        <w:tc>
          <w:tcPr>
            <w:tcW w:w="1656" w:type="dxa"/>
            <w:tcBorders>
              <w:top w:val="nil"/>
              <w:left w:val="nil"/>
              <w:bottom w:val="single" w:sz="4" w:space="0" w:color="auto"/>
              <w:right w:val="nil"/>
            </w:tcBorders>
          </w:tcPr>
          <w:p w14:paraId="0700A7AD"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3F2D5BA8"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(29.27)</w:t>
            </w:r>
          </w:p>
        </w:tc>
        <w:tc>
          <w:tcPr>
            <w:tcW w:w="2016" w:type="dxa"/>
            <w:tcBorders>
              <w:top w:val="nil"/>
              <w:left w:val="nil"/>
              <w:bottom w:val="single" w:sz="4" w:space="0" w:color="auto"/>
              <w:right w:val="nil"/>
            </w:tcBorders>
          </w:tcPr>
          <w:p w14:paraId="4A2224A1"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(68.75)</w:t>
            </w:r>
          </w:p>
        </w:tc>
      </w:tr>
      <w:tr w:rsidR="00045B66" w14:paraId="3A3D7506" w14:textId="77777777" w:rsidTr="00005463">
        <w:tc>
          <w:tcPr>
            <w:tcW w:w="1656" w:type="dxa"/>
            <w:tcBorders>
              <w:top w:val="nil"/>
              <w:left w:val="nil"/>
              <w:bottom w:val="single" w:sz="4" w:space="0" w:color="auto"/>
              <w:right w:val="nil"/>
            </w:tcBorders>
          </w:tcPr>
          <w:p w14:paraId="3D4DD86D"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6E7498E6"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1453</w:t>
            </w:r>
          </w:p>
        </w:tc>
        <w:tc>
          <w:tcPr>
            <w:tcW w:w="2016" w:type="dxa"/>
            <w:tcBorders>
              <w:top w:val="nil"/>
              <w:left w:val="nil"/>
              <w:bottom w:val="single" w:sz="4" w:space="0" w:color="auto"/>
              <w:right w:val="nil"/>
            </w:tcBorders>
          </w:tcPr>
          <w:p w14:paraId="0A1A9E74"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1453</w:t>
            </w:r>
          </w:p>
        </w:tc>
      </w:tr>
    </w:tbl>
    <w:p w14:paraId="62BF3973" w14:textId="77777777" w:rsidR="00045B66" w:rsidRDefault="00045B66" w:rsidP="00045B6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D0BDB8C" w14:textId="77777777" w:rsidR="00045B66" w:rsidRDefault="00045B66" w:rsidP="00045B6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1FBB5A8" w14:textId="77777777" w:rsidR="00FD4CCB" w:rsidRDefault="00FD4CCB" w:rsidP="00BF3A2C"/>
    <w:tbl>
      <w:tblPr>
        <w:tblW w:w="0" w:type="auto"/>
        <w:tblLayout w:type="fixed"/>
        <w:tblLook w:val="0000" w:firstRow="0" w:lastRow="0" w:firstColumn="0" w:lastColumn="0" w:noHBand="0" w:noVBand="0"/>
      </w:tblPr>
      <w:tblGrid>
        <w:gridCol w:w="1656"/>
        <w:gridCol w:w="2016"/>
        <w:gridCol w:w="2016"/>
      </w:tblGrid>
      <w:tr w:rsidR="00CD78BE" w14:paraId="33B98DBF" w14:textId="77777777" w:rsidTr="00005463">
        <w:tc>
          <w:tcPr>
            <w:tcW w:w="1656" w:type="dxa"/>
            <w:tcBorders>
              <w:top w:val="single" w:sz="4" w:space="0" w:color="auto"/>
              <w:left w:val="nil"/>
              <w:bottom w:val="nil"/>
              <w:right w:val="nil"/>
            </w:tcBorders>
          </w:tcPr>
          <w:p w14:paraId="1925A35B"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53F89A59"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03461C55"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CD78BE" w14:paraId="7B956156" w14:textId="77777777" w:rsidTr="00005463">
        <w:tc>
          <w:tcPr>
            <w:tcW w:w="1656" w:type="dxa"/>
            <w:tcBorders>
              <w:top w:val="nil"/>
              <w:left w:val="nil"/>
              <w:bottom w:val="nil"/>
              <w:right w:val="nil"/>
            </w:tcBorders>
          </w:tcPr>
          <w:p w14:paraId="707F99F3"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A41EDA5"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c>
          <w:tcPr>
            <w:tcW w:w="2016" w:type="dxa"/>
            <w:tcBorders>
              <w:top w:val="nil"/>
              <w:left w:val="nil"/>
              <w:bottom w:val="nil"/>
              <w:right w:val="nil"/>
            </w:tcBorders>
          </w:tcPr>
          <w:p w14:paraId="7E46C235"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r>
      <w:tr w:rsidR="00CD78BE" w14:paraId="3421F372" w14:textId="77777777" w:rsidTr="00005463">
        <w:tc>
          <w:tcPr>
            <w:tcW w:w="1656" w:type="dxa"/>
            <w:tcBorders>
              <w:top w:val="single" w:sz="4" w:space="0" w:color="auto"/>
              <w:left w:val="nil"/>
              <w:bottom w:val="nil"/>
              <w:right w:val="nil"/>
            </w:tcBorders>
          </w:tcPr>
          <w:p w14:paraId="2CC42AA3"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7CA47592"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-0.00708</w:t>
            </w:r>
          </w:p>
        </w:tc>
        <w:tc>
          <w:tcPr>
            <w:tcW w:w="2016" w:type="dxa"/>
            <w:tcBorders>
              <w:top w:val="single" w:sz="4" w:space="0" w:color="auto"/>
              <w:left w:val="nil"/>
              <w:bottom w:val="nil"/>
              <w:right w:val="nil"/>
            </w:tcBorders>
          </w:tcPr>
          <w:p w14:paraId="4C3F5162"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-0.00170</w:t>
            </w:r>
          </w:p>
        </w:tc>
      </w:tr>
      <w:tr w:rsidR="00CD78BE" w14:paraId="6FB45130" w14:textId="77777777" w:rsidTr="00005463">
        <w:tc>
          <w:tcPr>
            <w:tcW w:w="1656" w:type="dxa"/>
            <w:tcBorders>
              <w:top w:val="nil"/>
              <w:left w:val="nil"/>
              <w:bottom w:val="nil"/>
              <w:right w:val="nil"/>
            </w:tcBorders>
          </w:tcPr>
          <w:p w14:paraId="158523E6"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FBEECF9"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w:t>
            </w:r>
          </w:p>
        </w:tc>
        <w:tc>
          <w:tcPr>
            <w:tcW w:w="2016" w:type="dxa"/>
            <w:tcBorders>
              <w:top w:val="nil"/>
              <w:left w:val="nil"/>
              <w:bottom w:val="nil"/>
              <w:right w:val="nil"/>
            </w:tcBorders>
          </w:tcPr>
          <w:p w14:paraId="4A95CBB2"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CD78BE" w14:paraId="49AAE53B" w14:textId="77777777" w:rsidTr="00005463">
        <w:tc>
          <w:tcPr>
            <w:tcW w:w="1656" w:type="dxa"/>
            <w:tcBorders>
              <w:top w:val="nil"/>
              <w:left w:val="nil"/>
              <w:bottom w:val="nil"/>
              <w:right w:val="nil"/>
            </w:tcBorders>
          </w:tcPr>
          <w:p w14:paraId="739BA35C"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D6E341"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2D8FE92"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r>
      <w:tr w:rsidR="00CD78BE" w14:paraId="29141E3B" w14:textId="77777777" w:rsidTr="00005463">
        <w:tc>
          <w:tcPr>
            <w:tcW w:w="1656" w:type="dxa"/>
            <w:tcBorders>
              <w:top w:val="nil"/>
              <w:left w:val="nil"/>
              <w:bottom w:val="nil"/>
              <w:right w:val="nil"/>
            </w:tcBorders>
          </w:tcPr>
          <w:p w14:paraId="3C28D922"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061EB8E2"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3A76D2C"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0.724</w:t>
            </w:r>
            <w:r>
              <w:rPr>
                <w:rFonts w:ascii="Times New Roman" w:hAnsi="Times New Roman" w:cs="Times New Roman"/>
                <w:sz w:val="24"/>
                <w:szCs w:val="24"/>
                <w:vertAlign w:val="superscript"/>
              </w:rPr>
              <w:t>***</w:t>
            </w:r>
          </w:p>
        </w:tc>
      </w:tr>
      <w:tr w:rsidR="00CD78BE" w14:paraId="7AA5EE87" w14:textId="77777777" w:rsidTr="00005463">
        <w:tc>
          <w:tcPr>
            <w:tcW w:w="1656" w:type="dxa"/>
            <w:tcBorders>
              <w:top w:val="nil"/>
              <w:left w:val="nil"/>
              <w:bottom w:val="single" w:sz="4" w:space="0" w:color="auto"/>
              <w:right w:val="nil"/>
            </w:tcBorders>
          </w:tcPr>
          <w:p w14:paraId="03D890D5"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2638F53A"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(18.41)</w:t>
            </w:r>
          </w:p>
        </w:tc>
        <w:tc>
          <w:tcPr>
            <w:tcW w:w="2016" w:type="dxa"/>
            <w:tcBorders>
              <w:top w:val="nil"/>
              <w:left w:val="nil"/>
              <w:bottom w:val="single" w:sz="4" w:space="0" w:color="auto"/>
              <w:right w:val="nil"/>
            </w:tcBorders>
          </w:tcPr>
          <w:p w14:paraId="72246E3C"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(13.49)</w:t>
            </w:r>
          </w:p>
        </w:tc>
      </w:tr>
      <w:tr w:rsidR="00CD78BE" w14:paraId="17FE230F" w14:textId="77777777" w:rsidTr="00005463">
        <w:tc>
          <w:tcPr>
            <w:tcW w:w="1656" w:type="dxa"/>
            <w:tcBorders>
              <w:top w:val="nil"/>
              <w:left w:val="nil"/>
              <w:bottom w:val="single" w:sz="4" w:space="0" w:color="auto"/>
              <w:right w:val="nil"/>
            </w:tcBorders>
          </w:tcPr>
          <w:p w14:paraId="4ABC9F43"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4136AEAC"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1488</w:t>
            </w:r>
          </w:p>
        </w:tc>
        <w:tc>
          <w:tcPr>
            <w:tcW w:w="2016" w:type="dxa"/>
            <w:tcBorders>
              <w:top w:val="nil"/>
              <w:left w:val="nil"/>
              <w:bottom w:val="single" w:sz="4" w:space="0" w:color="auto"/>
              <w:right w:val="nil"/>
            </w:tcBorders>
          </w:tcPr>
          <w:p w14:paraId="69D7D473"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1488</w:t>
            </w:r>
          </w:p>
        </w:tc>
      </w:tr>
    </w:tbl>
    <w:p w14:paraId="0B93C3C7" w14:textId="77777777" w:rsidR="00CD78BE" w:rsidRDefault="00CD78BE" w:rsidP="00CD78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EB176C2" w14:textId="38AD8F92" w:rsidR="00CD78BE" w:rsidRPr="00CD78BE" w:rsidRDefault="00CD78BE" w:rsidP="00CD78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7268363" w14:textId="13E0B33A" w:rsidR="00ED7559" w:rsidRDefault="00ED7559" w:rsidP="00BF3A2C"/>
    <w:p w14:paraId="2E486C4C" w14:textId="265AA017" w:rsidR="00394763" w:rsidRDefault="00394763" w:rsidP="00BF3A2C">
      <w:r>
        <w:t xml:space="preserve">For the full sample it is also instructive to test the relationship between independence and measures of more profound political </w:t>
      </w:r>
      <w:r w:rsidRPr="00E678CD">
        <w:t>instability.</w:t>
      </w:r>
      <w:r w:rsidR="00AA38DE" w:rsidRPr="00E678CD">
        <w:t xml:space="preserve"> </w:t>
      </w:r>
      <w:r w:rsidR="00AA38DE" w:rsidRPr="00681B76">
        <w:t>The World Bank Governance Indicator for Political Violence</w:t>
      </w:r>
      <w:r w:rsidR="00FA6474" w:rsidRPr="00681B76">
        <w:t xml:space="preserve"> is </w:t>
      </w:r>
      <w:r w:rsidR="00676814" w:rsidRPr="00681B76">
        <w:t>positively</w:t>
      </w:r>
      <w:r w:rsidR="00FA6474" w:rsidRPr="00681B76">
        <w:t xml:space="preserve"> related to de jure central bank independence in </w:t>
      </w:r>
      <w:r w:rsidR="00205C0D" w:rsidRPr="00681B76">
        <w:t>OLS regression</w:t>
      </w:r>
      <w:r w:rsidR="00883FDA" w:rsidRPr="00681B76">
        <w:t xml:space="preserve"> (meaning it is associated with less </w:t>
      </w:r>
      <w:r w:rsidR="00E33CE6" w:rsidRPr="00681B76">
        <w:t>instability</w:t>
      </w:r>
      <w:r w:rsidR="00883FDA" w:rsidRPr="00681B76">
        <w:t>)</w:t>
      </w:r>
      <w:r w:rsidR="00205C0D" w:rsidRPr="00681B76">
        <w:t>, but the coefficient becomes negative with the inclusion of country and year fixed effects</w:t>
      </w:r>
      <w:r w:rsidR="00681B76" w:rsidRPr="00681B76">
        <w:t xml:space="preserve"> (meaning independence is associated with more instability)</w:t>
      </w:r>
      <w:r w:rsidR="00205C0D" w:rsidRPr="00681B76">
        <w:t>.</w:t>
      </w:r>
      <w:r w:rsidR="00676814" w:rsidRPr="00681B76">
        <w:t xml:space="preserve"> This result holds even on the restricted timescale for which World Bank data is available.</w:t>
      </w:r>
      <w:r w:rsidR="003918F4" w:rsidRPr="00681B76">
        <w:t xml:space="preserve"> There is no relationship for </w:t>
      </w:r>
      <w:r w:rsidR="009C03E2" w:rsidRPr="00681B76">
        <w:t>de facto independence</w:t>
      </w:r>
      <w:r w:rsidR="007B3D31" w:rsidRPr="00681B76">
        <w:t xml:space="preserve">, but </w:t>
      </w:r>
      <w:r w:rsidR="00D06A83" w:rsidRPr="00681B76">
        <w:t xml:space="preserve">less </w:t>
      </w:r>
      <w:r w:rsidR="007B3D31" w:rsidRPr="00681B76">
        <w:t xml:space="preserve">violence is related to </w:t>
      </w:r>
      <w:r w:rsidR="00D06A83" w:rsidRPr="00681B76">
        <w:t>a floating exchange rate.</w:t>
      </w:r>
      <w:r w:rsidR="00AE1B44" w:rsidRPr="00681B76">
        <w:t xml:space="preserve"> Destabilizing</w:t>
      </w:r>
      <w:r w:rsidR="00AE1B44">
        <w:t xml:space="preserve"> events such as civil wars, coups, and internal conflict</w:t>
      </w:r>
      <w:r w:rsidR="00E8183E">
        <w:t xml:space="preserve"> are </w:t>
      </w:r>
      <w:r w:rsidR="00F26752">
        <w:t xml:space="preserve">positively </w:t>
      </w:r>
      <w:r w:rsidR="00E8183E">
        <w:t>related to de jure independence</w:t>
      </w:r>
      <w:r w:rsidR="00B23FF1">
        <w:t xml:space="preserve"> and fixed exchange rates.</w:t>
      </w:r>
    </w:p>
    <w:tbl>
      <w:tblPr>
        <w:tblW w:w="0" w:type="auto"/>
        <w:tblLayout w:type="fixed"/>
        <w:tblLook w:val="0000" w:firstRow="0" w:lastRow="0" w:firstColumn="0" w:lastColumn="0" w:noHBand="0" w:noVBand="0"/>
      </w:tblPr>
      <w:tblGrid>
        <w:gridCol w:w="1656"/>
        <w:gridCol w:w="2016"/>
        <w:gridCol w:w="2016"/>
      </w:tblGrid>
      <w:tr w:rsidR="00394763" w14:paraId="5914FCE1" w14:textId="77777777" w:rsidTr="00005463">
        <w:tc>
          <w:tcPr>
            <w:tcW w:w="1656" w:type="dxa"/>
            <w:tcBorders>
              <w:top w:val="single" w:sz="4" w:space="0" w:color="auto"/>
              <w:left w:val="nil"/>
              <w:bottom w:val="nil"/>
              <w:right w:val="nil"/>
            </w:tcBorders>
          </w:tcPr>
          <w:p w14:paraId="248C17C9"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D79433A"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2014CD4E"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94763" w14:paraId="561C5670" w14:textId="77777777" w:rsidTr="00005463">
        <w:tc>
          <w:tcPr>
            <w:tcW w:w="1656" w:type="dxa"/>
            <w:tcBorders>
              <w:top w:val="nil"/>
              <w:left w:val="nil"/>
              <w:bottom w:val="nil"/>
              <w:right w:val="nil"/>
            </w:tcBorders>
          </w:tcPr>
          <w:p w14:paraId="153631E3"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B248564"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c>
          <w:tcPr>
            <w:tcW w:w="2016" w:type="dxa"/>
            <w:tcBorders>
              <w:top w:val="nil"/>
              <w:left w:val="nil"/>
              <w:bottom w:val="nil"/>
              <w:right w:val="nil"/>
            </w:tcBorders>
          </w:tcPr>
          <w:p w14:paraId="231E2273"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394763" w14:paraId="3E1954B5" w14:textId="77777777" w:rsidTr="00005463">
        <w:tc>
          <w:tcPr>
            <w:tcW w:w="1656" w:type="dxa"/>
            <w:tcBorders>
              <w:top w:val="single" w:sz="4" w:space="0" w:color="auto"/>
              <w:left w:val="nil"/>
              <w:bottom w:val="nil"/>
              <w:right w:val="nil"/>
            </w:tcBorders>
          </w:tcPr>
          <w:p w14:paraId="182CFD87"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1106DAAB"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0.420</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EFF958E"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-0.357</w:t>
            </w:r>
            <w:r>
              <w:rPr>
                <w:rFonts w:ascii="Times New Roman" w:hAnsi="Times New Roman" w:cs="Times New Roman"/>
                <w:sz w:val="24"/>
                <w:szCs w:val="24"/>
                <w:vertAlign w:val="superscript"/>
              </w:rPr>
              <w:t>*</w:t>
            </w:r>
          </w:p>
        </w:tc>
      </w:tr>
      <w:tr w:rsidR="00394763" w14:paraId="0A1D8A98" w14:textId="77777777" w:rsidTr="00005463">
        <w:tc>
          <w:tcPr>
            <w:tcW w:w="1656" w:type="dxa"/>
            <w:tcBorders>
              <w:top w:val="nil"/>
              <w:left w:val="nil"/>
              <w:bottom w:val="nil"/>
              <w:right w:val="nil"/>
            </w:tcBorders>
          </w:tcPr>
          <w:p w14:paraId="6CD381B6"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9241AC8"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(4.04)</w:t>
            </w:r>
          </w:p>
        </w:tc>
        <w:tc>
          <w:tcPr>
            <w:tcW w:w="2016" w:type="dxa"/>
            <w:tcBorders>
              <w:top w:val="nil"/>
              <w:left w:val="nil"/>
              <w:bottom w:val="nil"/>
              <w:right w:val="nil"/>
            </w:tcBorders>
          </w:tcPr>
          <w:p w14:paraId="49242147"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r>
      <w:tr w:rsidR="00394763" w14:paraId="17CFCCA1" w14:textId="77777777" w:rsidTr="00005463">
        <w:tc>
          <w:tcPr>
            <w:tcW w:w="1656" w:type="dxa"/>
            <w:tcBorders>
              <w:top w:val="nil"/>
              <w:left w:val="nil"/>
              <w:bottom w:val="nil"/>
              <w:right w:val="nil"/>
            </w:tcBorders>
          </w:tcPr>
          <w:p w14:paraId="2A5AAEFB"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3F78AC7"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A93EBF3"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r>
      <w:tr w:rsidR="00394763" w14:paraId="3997EED1" w14:textId="77777777" w:rsidTr="00005463">
        <w:tc>
          <w:tcPr>
            <w:tcW w:w="1656" w:type="dxa"/>
            <w:tcBorders>
              <w:top w:val="nil"/>
              <w:left w:val="nil"/>
              <w:bottom w:val="nil"/>
              <w:right w:val="nil"/>
            </w:tcBorders>
          </w:tcPr>
          <w:p w14:paraId="19EA0000"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410ECCBA"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FD0D568"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0.0787</w:t>
            </w:r>
          </w:p>
        </w:tc>
      </w:tr>
      <w:tr w:rsidR="00394763" w14:paraId="7B6143B0" w14:textId="77777777" w:rsidTr="00005463">
        <w:tc>
          <w:tcPr>
            <w:tcW w:w="1656" w:type="dxa"/>
            <w:tcBorders>
              <w:top w:val="nil"/>
              <w:left w:val="nil"/>
              <w:bottom w:val="single" w:sz="4" w:space="0" w:color="auto"/>
              <w:right w:val="nil"/>
            </w:tcBorders>
          </w:tcPr>
          <w:p w14:paraId="14B1A178"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7D8C2E64"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(-5.68)</w:t>
            </w:r>
          </w:p>
        </w:tc>
        <w:tc>
          <w:tcPr>
            <w:tcW w:w="2016" w:type="dxa"/>
            <w:tcBorders>
              <w:top w:val="nil"/>
              <w:left w:val="nil"/>
              <w:bottom w:val="single" w:sz="4" w:space="0" w:color="auto"/>
              <w:right w:val="nil"/>
            </w:tcBorders>
          </w:tcPr>
          <w:p w14:paraId="05DC9C35"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r>
      <w:tr w:rsidR="00394763" w14:paraId="7DD0124F" w14:textId="77777777" w:rsidTr="00005463">
        <w:tc>
          <w:tcPr>
            <w:tcW w:w="1656" w:type="dxa"/>
            <w:tcBorders>
              <w:top w:val="nil"/>
              <w:left w:val="nil"/>
              <w:bottom w:val="single" w:sz="4" w:space="0" w:color="auto"/>
              <w:right w:val="nil"/>
            </w:tcBorders>
          </w:tcPr>
          <w:p w14:paraId="5D6EBE1B"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7C8005B8"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2244</w:t>
            </w:r>
          </w:p>
        </w:tc>
        <w:tc>
          <w:tcPr>
            <w:tcW w:w="2016" w:type="dxa"/>
            <w:tcBorders>
              <w:top w:val="nil"/>
              <w:left w:val="nil"/>
              <w:bottom w:val="single" w:sz="4" w:space="0" w:color="auto"/>
              <w:right w:val="nil"/>
            </w:tcBorders>
          </w:tcPr>
          <w:p w14:paraId="566863F8"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2244</w:t>
            </w:r>
          </w:p>
        </w:tc>
      </w:tr>
    </w:tbl>
    <w:p w14:paraId="325B4C26" w14:textId="77777777" w:rsidR="00394763" w:rsidRDefault="00394763" w:rsidP="0039476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16ED91D" w14:textId="2681D9D6" w:rsidR="00394763" w:rsidRDefault="00394763" w:rsidP="0039476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E8EB26B" w14:textId="10210873" w:rsidR="00394763" w:rsidRDefault="00394763" w:rsidP="00394763">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3918F4" w14:paraId="51A6F9AB" w14:textId="77777777" w:rsidTr="00005463">
        <w:tc>
          <w:tcPr>
            <w:tcW w:w="1656" w:type="dxa"/>
            <w:tcBorders>
              <w:top w:val="single" w:sz="4" w:space="0" w:color="auto"/>
              <w:left w:val="nil"/>
              <w:bottom w:val="nil"/>
              <w:right w:val="nil"/>
            </w:tcBorders>
          </w:tcPr>
          <w:p w14:paraId="6D8F3008"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93283B7"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11F3D109"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918F4" w14:paraId="70E13542" w14:textId="77777777" w:rsidTr="00005463">
        <w:tc>
          <w:tcPr>
            <w:tcW w:w="1656" w:type="dxa"/>
            <w:tcBorders>
              <w:top w:val="nil"/>
              <w:left w:val="nil"/>
              <w:bottom w:val="nil"/>
              <w:right w:val="nil"/>
            </w:tcBorders>
          </w:tcPr>
          <w:p w14:paraId="0DC50631"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A8B3CF2"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c>
          <w:tcPr>
            <w:tcW w:w="2016" w:type="dxa"/>
            <w:tcBorders>
              <w:top w:val="nil"/>
              <w:left w:val="nil"/>
              <w:bottom w:val="nil"/>
              <w:right w:val="nil"/>
            </w:tcBorders>
          </w:tcPr>
          <w:p w14:paraId="2AAE0421"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3918F4" w14:paraId="751781A3" w14:textId="77777777" w:rsidTr="00005463">
        <w:tc>
          <w:tcPr>
            <w:tcW w:w="1656" w:type="dxa"/>
            <w:tcBorders>
              <w:top w:val="single" w:sz="4" w:space="0" w:color="auto"/>
              <w:left w:val="nil"/>
              <w:bottom w:val="nil"/>
              <w:right w:val="nil"/>
            </w:tcBorders>
          </w:tcPr>
          <w:p w14:paraId="0AC52BED"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irregtd</w:t>
            </w:r>
            <w:proofErr w:type="spellEnd"/>
          </w:p>
        </w:tc>
        <w:tc>
          <w:tcPr>
            <w:tcW w:w="2016" w:type="dxa"/>
            <w:tcBorders>
              <w:top w:val="single" w:sz="4" w:space="0" w:color="auto"/>
              <w:left w:val="nil"/>
              <w:bottom w:val="nil"/>
              <w:right w:val="nil"/>
            </w:tcBorders>
          </w:tcPr>
          <w:p w14:paraId="4932DBD1"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-0.182</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3F27CE06"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-0.0425</w:t>
            </w:r>
          </w:p>
        </w:tc>
      </w:tr>
      <w:tr w:rsidR="003918F4" w14:paraId="42B9CB32" w14:textId="77777777" w:rsidTr="00005463">
        <w:tc>
          <w:tcPr>
            <w:tcW w:w="1656" w:type="dxa"/>
            <w:tcBorders>
              <w:top w:val="nil"/>
              <w:left w:val="nil"/>
              <w:bottom w:val="nil"/>
              <w:right w:val="nil"/>
            </w:tcBorders>
          </w:tcPr>
          <w:p w14:paraId="21D532AB"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B0585B1"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w:t>
            </w:r>
          </w:p>
        </w:tc>
        <w:tc>
          <w:tcPr>
            <w:tcW w:w="2016" w:type="dxa"/>
            <w:tcBorders>
              <w:top w:val="nil"/>
              <w:left w:val="nil"/>
              <w:bottom w:val="nil"/>
              <w:right w:val="nil"/>
            </w:tcBorders>
          </w:tcPr>
          <w:p w14:paraId="6DE69A49"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w:t>
            </w:r>
          </w:p>
        </w:tc>
      </w:tr>
      <w:tr w:rsidR="003918F4" w14:paraId="51F2FD25" w14:textId="77777777" w:rsidTr="00005463">
        <w:tc>
          <w:tcPr>
            <w:tcW w:w="1656" w:type="dxa"/>
            <w:tcBorders>
              <w:top w:val="nil"/>
              <w:left w:val="nil"/>
              <w:bottom w:val="nil"/>
              <w:right w:val="nil"/>
            </w:tcBorders>
          </w:tcPr>
          <w:p w14:paraId="6CB50D8F"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8D62354"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A163B6F"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r>
      <w:tr w:rsidR="003918F4" w14:paraId="6550FA6A" w14:textId="77777777" w:rsidTr="00005463">
        <w:tc>
          <w:tcPr>
            <w:tcW w:w="1656" w:type="dxa"/>
            <w:tcBorders>
              <w:top w:val="nil"/>
              <w:left w:val="nil"/>
              <w:bottom w:val="nil"/>
              <w:right w:val="nil"/>
            </w:tcBorders>
          </w:tcPr>
          <w:p w14:paraId="71E65CE4"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2D86789C"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ACDD429"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r>
              <w:rPr>
                <w:rFonts w:ascii="Times New Roman" w:hAnsi="Times New Roman" w:cs="Times New Roman"/>
                <w:sz w:val="24"/>
                <w:szCs w:val="24"/>
                <w:vertAlign w:val="superscript"/>
              </w:rPr>
              <w:t>***</w:t>
            </w:r>
          </w:p>
        </w:tc>
      </w:tr>
      <w:tr w:rsidR="003918F4" w14:paraId="65598BF7" w14:textId="77777777" w:rsidTr="00005463">
        <w:tc>
          <w:tcPr>
            <w:tcW w:w="1656" w:type="dxa"/>
            <w:tcBorders>
              <w:top w:val="nil"/>
              <w:left w:val="nil"/>
              <w:bottom w:val="single" w:sz="4" w:space="0" w:color="auto"/>
              <w:right w:val="nil"/>
            </w:tcBorders>
          </w:tcPr>
          <w:p w14:paraId="6EA3A652"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730949F"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2016" w:type="dxa"/>
            <w:tcBorders>
              <w:top w:val="nil"/>
              <w:left w:val="nil"/>
              <w:bottom w:val="single" w:sz="4" w:space="0" w:color="auto"/>
              <w:right w:val="nil"/>
            </w:tcBorders>
          </w:tcPr>
          <w:p w14:paraId="3DC262EA"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(-39.25)</w:t>
            </w:r>
          </w:p>
        </w:tc>
      </w:tr>
      <w:tr w:rsidR="003918F4" w14:paraId="382CFEEA" w14:textId="77777777" w:rsidTr="00005463">
        <w:tc>
          <w:tcPr>
            <w:tcW w:w="1656" w:type="dxa"/>
            <w:tcBorders>
              <w:top w:val="nil"/>
              <w:left w:val="nil"/>
              <w:bottom w:val="single" w:sz="4" w:space="0" w:color="auto"/>
              <w:right w:val="nil"/>
            </w:tcBorders>
          </w:tcPr>
          <w:p w14:paraId="375B5E38"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473A5BDE"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3028</w:t>
            </w:r>
          </w:p>
        </w:tc>
        <w:tc>
          <w:tcPr>
            <w:tcW w:w="2016" w:type="dxa"/>
            <w:tcBorders>
              <w:top w:val="nil"/>
              <w:left w:val="nil"/>
              <w:bottom w:val="single" w:sz="4" w:space="0" w:color="auto"/>
              <w:right w:val="nil"/>
            </w:tcBorders>
          </w:tcPr>
          <w:p w14:paraId="24E31F1A"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3028</w:t>
            </w:r>
          </w:p>
        </w:tc>
      </w:tr>
    </w:tbl>
    <w:p w14:paraId="313C2203" w14:textId="77777777" w:rsidR="003918F4" w:rsidRDefault="003918F4" w:rsidP="003918F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AF1A01C" w14:textId="17D2BE30" w:rsidR="003918F4" w:rsidRDefault="003918F4" w:rsidP="003918F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AD6F0D6" w14:textId="77777777" w:rsidR="007B3D31" w:rsidRDefault="007B3D31" w:rsidP="003918F4">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7B3D31" w14:paraId="7D610A5D" w14:textId="77777777" w:rsidTr="00005463">
        <w:tc>
          <w:tcPr>
            <w:tcW w:w="1656" w:type="dxa"/>
            <w:tcBorders>
              <w:top w:val="single" w:sz="4" w:space="0" w:color="auto"/>
              <w:left w:val="nil"/>
              <w:bottom w:val="nil"/>
              <w:right w:val="nil"/>
            </w:tcBorders>
          </w:tcPr>
          <w:p w14:paraId="77B6D34C"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3BD5051E"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76322923"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B3D31" w14:paraId="2D96582C" w14:textId="77777777" w:rsidTr="00005463">
        <w:tc>
          <w:tcPr>
            <w:tcW w:w="1656" w:type="dxa"/>
            <w:tcBorders>
              <w:top w:val="nil"/>
              <w:left w:val="nil"/>
              <w:bottom w:val="nil"/>
              <w:right w:val="nil"/>
            </w:tcBorders>
          </w:tcPr>
          <w:p w14:paraId="0ED78C4C"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E2DF27B"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c>
          <w:tcPr>
            <w:tcW w:w="2016" w:type="dxa"/>
            <w:tcBorders>
              <w:top w:val="nil"/>
              <w:left w:val="nil"/>
              <w:bottom w:val="nil"/>
              <w:right w:val="nil"/>
            </w:tcBorders>
          </w:tcPr>
          <w:p w14:paraId="43BC65B3"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7B3D31" w14:paraId="5ADE32C4" w14:textId="77777777" w:rsidTr="00005463">
        <w:tc>
          <w:tcPr>
            <w:tcW w:w="1656" w:type="dxa"/>
            <w:tcBorders>
              <w:top w:val="single" w:sz="4" w:space="0" w:color="auto"/>
              <w:left w:val="nil"/>
              <w:bottom w:val="nil"/>
              <w:right w:val="nil"/>
            </w:tcBorders>
          </w:tcPr>
          <w:p w14:paraId="7BC16925"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45EBB67D"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-0.0334</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7EC4B199"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-0.0203</w:t>
            </w:r>
            <w:r>
              <w:rPr>
                <w:rFonts w:ascii="Times New Roman" w:hAnsi="Times New Roman" w:cs="Times New Roman"/>
                <w:sz w:val="24"/>
                <w:szCs w:val="24"/>
                <w:vertAlign w:val="superscript"/>
              </w:rPr>
              <w:t>**</w:t>
            </w:r>
          </w:p>
        </w:tc>
      </w:tr>
      <w:tr w:rsidR="007B3D31" w14:paraId="09CF2764" w14:textId="77777777" w:rsidTr="00005463">
        <w:tc>
          <w:tcPr>
            <w:tcW w:w="1656" w:type="dxa"/>
            <w:tcBorders>
              <w:top w:val="nil"/>
              <w:left w:val="nil"/>
              <w:bottom w:val="nil"/>
              <w:right w:val="nil"/>
            </w:tcBorders>
          </w:tcPr>
          <w:p w14:paraId="194E7088"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13FD763"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w:t>
            </w:r>
          </w:p>
        </w:tc>
        <w:tc>
          <w:tcPr>
            <w:tcW w:w="2016" w:type="dxa"/>
            <w:tcBorders>
              <w:top w:val="nil"/>
              <w:left w:val="nil"/>
              <w:bottom w:val="nil"/>
              <w:right w:val="nil"/>
            </w:tcBorders>
          </w:tcPr>
          <w:p w14:paraId="3936E3D5"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w:t>
            </w:r>
          </w:p>
        </w:tc>
      </w:tr>
      <w:tr w:rsidR="007B3D31" w14:paraId="3417FFB5" w14:textId="77777777" w:rsidTr="00005463">
        <w:tc>
          <w:tcPr>
            <w:tcW w:w="1656" w:type="dxa"/>
            <w:tcBorders>
              <w:top w:val="nil"/>
              <w:left w:val="nil"/>
              <w:bottom w:val="nil"/>
              <w:right w:val="nil"/>
            </w:tcBorders>
          </w:tcPr>
          <w:p w14:paraId="6B26E5F7"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E512F3D"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B8E1067"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r>
      <w:tr w:rsidR="007B3D31" w14:paraId="7F2B9AC0" w14:textId="77777777" w:rsidTr="00005463">
        <w:tc>
          <w:tcPr>
            <w:tcW w:w="1656" w:type="dxa"/>
            <w:tcBorders>
              <w:top w:val="nil"/>
              <w:left w:val="nil"/>
              <w:bottom w:val="nil"/>
              <w:right w:val="nil"/>
            </w:tcBorders>
          </w:tcPr>
          <w:p w14:paraId="17B996C0"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45D90EFA"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0.0524</w:t>
            </w:r>
          </w:p>
        </w:tc>
        <w:tc>
          <w:tcPr>
            <w:tcW w:w="2016" w:type="dxa"/>
            <w:tcBorders>
              <w:top w:val="nil"/>
              <w:left w:val="nil"/>
              <w:bottom w:val="nil"/>
              <w:right w:val="nil"/>
            </w:tcBorders>
          </w:tcPr>
          <w:p w14:paraId="332074BF"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-0.0281</w:t>
            </w:r>
          </w:p>
        </w:tc>
      </w:tr>
      <w:tr w:rsidR="007B3D31" w14:paraId="46FCA7C3" w14:textId="77777777" w:rsidTr="00005463">
        <w:tc>
          <w:tcPr>
            <w:tcW w:w="1656" w:type="dxa"/>
            <w:tcBorders>
              <w:top w:val="nil"/>
              <w:left w:val="nil"/>
              <w:bottom w:val="single" w:sz="4" w:space="0" w:color="auto"/>
              <w:right w:val="nil"/>
            </w:tcBorders>
          </w:tcPr>
          <w:p w14:paraId="46DCB003"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B592B19"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016" w:type="dxa"/>
            <w:tcBorders>
              <w:top w:val="nil"/>
              <w:left w:val="nil"/>
              <w:bottom w:val="single" w:sz="4" w:space="0" w:color="auto"/>
              <w:right w:val="nil"/>
            </w:tcBorders>
          </w:tcPr>
          <w:p w14:paraId="46D726EA"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r>
      <w:tr w:rsidR="007B3D31" w14:paraId="3B66B6BA" w14:textId="77777777" w:rsidTr="00005463">
        <w:tc>
          <w:tcPr>
            <w:tcW w:w="1656" w:type="dxa"/>
            <w:tcBorders>
              <w:top w:val="nil"/>
              <w:left w:val="nil"/>
              <w:bottom w:val="single" w:sz="4" w:space="0" w:color="auto"/>
              <w:right w:val="nil"/>
            </w:tcBorders>
          </w:tcPr>
          <w:p w14:paraId="65BCCBFD"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6EA952F"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2962</w:t>
            </w:r>
          </w:p>
        </w:tc>
        <w:tc>
          <w:tcPr>
            <w:tcW w:w="2016" w:type="dxa"/>
            <w:tcBorders>
              <w:top w:val="nil"/>
              <w:left w:val="nil"/>
              <w:bottom w:val="single" w:sz="4" w:space="0" w:color="auto"/>
              <w:right w:val="nil"/>
            </w:tcBorders>
          </w:tcPr>
          <w:p w14:paraId="4069F19C"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2962</w:t>
            </w:r>
          </w:p>
        </w:tc>
      </w:tr>
    </w:tbl>
    <w:p w14:paraId="6E7CDB3A" w14:textId="77777777" w:rsidR="007B3D31" w:rsidRDefault="007B3D31" w:rsidP="007B3D3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29835E7" w14:textId="4BC91F4C" w:rsidR="003918F4" w:rsidRPr="00D06A83" w:rsidRDefault="007B3D31" w:rsidP="003918F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lastRenderedPageBreak/>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E4DE676" w14:textId="7DC27967" w:rsidR="003918F4" w:rsidRDefault="003918F4" w:rsidP="00394763">
      <w:pPr>
        <w:widowControl w:val="0"/>
        <w:autoSpaceDE w:val="0"/>
        <w:autoSpaceDN w:val="0"/>
        <w:adjustRightInd w:val="0"/>
        <w:spacing w:after="0" w:line="240" w:lineRule="auto"/>
        <w:rPr>
          <w:rFonts w:ascii="Times New Roman" w:hAnsi="Times New Roman" w:cs="Times New Roman"/>
          <w:sz w:val="20"/>
          <w:szCs w:val="20"/>
        </w:rPr>
      </w:pPr>
    </w:p>
    <w:p w14:paraId="28B8599C" w14:textId="1C7FB1F7" w:rsidR="00D06A83" w:rsidRDefault="00D06A83" w:rsidP="00394763">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135225" w14:paraId="2713D91F" w14:textId="77777777" w:rsidTr="00005463">
        <w:tc>
          <w:tcPr>
            <w:tcW w:w="1656" w:type="dxa"/>
            <w:tcBorders>
              <w:top w:val="single" w:sz="4" w:space="0" w:color="auto"/>
              <w:left w:val="nil"/>
              <w:bottom w:val="nil"/>
              <w:right w:val="nil"/>
            </w:tcBorders>
          </w:tcPr>
          <w:p w14:paraId="1539D487"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669B0267"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3B80E92"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35225" w14:paraId="7E48E7FA" w14:textId="77777777" w:rsidTr="00005463">
        <w:tc>
          <w:tcPr>
            <w:tcW w:w="1656" w:type="dxa"/>
            <w:tcBorders>
              <w:top w:val="nil"/>
              <w:left w:val="nil"/>
              <w:bottom w:val="nil"/>
              <w:right w:val="nil"/>
            </w:tcBorders>
          </w:tcPr>
          <w:p w14:paraId="3F7D4B2F"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4BA2A82"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c>
          <w:tcPr>
            <w:tcW w:w="2016" w:type="dxa"/>
            <w:tcBorders>
              <w:top w:val="nil"/>
              <w:left w:val="nil"/>
              <w:bottom w:val="nil"/>
              <w:right w:val="nil"/>
            </w:tcBorders>
          </w:tcPr>
          <w:p w14:paraId="34FD8E4D"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r>
      <w:tr w:rsidR="00135225" w14:paraId="0EE2B7B1" w14:textId="77777777" w:rsidTr="00005463">
        <w:tc>
          <w:tcPr>
            <w:tcW w:w="1656" w:type="dxa"/>
            <w:tcBorders>
              <w:top w:val="single" w:sz="4" w:space="0" w:color="auto"/>
              <w:left w:val="nil"/>
              <w:bottom w:val="nil"/>
              <w:right w:val="nil"/>
            </w:tcBorders>
          </w:tcPr>
          <w:p w14:paraId="4DF85103"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4A48CF35"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0.430</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66420C67"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1.022</w:t>
            </w:r>
            <w:r>
              <w:rPr>
                <w:rFonts w:ascii="Times New Roman" w:hAnsi="Times New Roman" w:cs="Times New Roman"/>
                <w:sz w:val="24"/>
                <w:szCs w:val="24"/>
                <w:vertAlign w:val="superscript"/>
              </w:rPr>
              <w:t>***</w:t>
            </w:r>
          </w:p>
        </w:tc>
      </w:tr>
      <w:tr w:rsidR="00135225" w14:paraId="4FA9BC5A" w14:textId="77777777" w:rsidTr="00005463">
        <w:tc>
          <w:tcPr>
            <w:tcW w:w="1656" w:type="dxa"/>
            <w:tcBorders>
              <w:top w:val="nil"/>
              <w:left w:val="nil"/>
              <w:bottom w:val="nil"/>
              <w:right w:val="nil"/>
            </w:tcBorders>
          </w:tcPr>
          <w:p w14:paraId="2AADC6D6"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7B1C8CC"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(10.73)</w:t>
            </w:r>
          </w:p>
        </w:tc>
        <w:tc>
          <w:tcPr>
            <w:tcW w:w="2016" w:type="dxa"/>
            <w:tcBorders>
              <w:top w:val="nil"/>
              <w:left w:val="nil"/>
              <w:bottom w:val="nil"/>
              <w:right w:val="nil"/>
            </w:tcBorders>
          </w:tcPr>
          <w:p w14:paraId="2A7117C5"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(12.41)</w:t>
            </w:r>
          </w:p>
        </w:tc>
      </w:tr>
      <w:tr w:rsidR="00135225" w14:paraId="613B3559" w14:textId="77777777" w:rsidTr="00005463">
        <w:tc>
          <w:tcPr>
            <w:tcW w:w="1656" w:type="dxa"/>
            <w:tcBorders>
              <w:top w:val="nil"/>
              <w:left w:val="nil"/>
              <w:bottom w:val="nil"/>
              <w:right w:val="nil"/>
            </w:tcBorders>
          </w:tcPr>
          <w:p w14:paraId="3DABB617"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F7571AF"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9744E7"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r>
      <w:tr w:rsidR="00135225" w14:paraId="29E9C550" w14:textId="77777777" w:rsidTr="00005463">
        <w:tc>
          <w:tcPr>
            <w:tcW w:w="1656" w:type="dxa"/>
            <w:tcBorders>
              <w:top w:val="nil"/>
              <w:left w:val="nil"/>
              <w:bottom w:val="nil"/>
              <w:right w:val="nil"/>
            </w:tcBorders>
          </w:tcPr>
          <w:p w14:paraId="377A7298"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6F8B1432"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592C058"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-0.0592</w:t>
            </w:r>
          </w:p>
        </w:tc>
      </w:tr>
      <w:tr w:rsidR="00135225" w14:paraId="6411DF8D" w14:textId="77777777" w:rsidTr="00005463">
        <w:tc>
          <w:tcPr>
            <w:tcW w:w="1656" w:type="dxa"/>
            <w:tcBorders>
              <w:top w:val="nil"/>
              <w:left w:val="nil"/>
              <w:bottom w:val="single" w:sz="4" w:space="0" w:color="auto"/>
              <w:right w:val="nil"/>
            </w:tcBorders>
          </w:tcPr>
          <w:p w14:paraId="084363A2"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C5201F7"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(10.71)</w:t>
            </w:r>
          </w:p>
        </w:tc>
        <w:tc>
          <w:tcPr>
            <w:tcW w:w="2016" w:type="dxa"/>
            <w:tcBorders>
              <w:top w:val="nil"/>
              <w:left w:val="nil"/>
              <w:bottom w:val="single" w:sz="4" w:space="0" w:color="auto"/>
              <w:right w:val="nil"/>
            </w:tcBorders>
          </w:tcPr>
          <w:p w14:paraId="1122187B"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r>
      <w:tr w:rsidR="00135225" w14:paraId="108A7BBE" w14:textId="77777777" w:rsidTr="00005463">
        <w:tc>
          <w:tcPr>
            <w:tcW w:w="1656" w:type="dxa"/>
            <w:tcBorders>
              <w:top w:val="nil"/>
              <w:left w:val="nil"/>
              <w:bottom w:val="single" w:sz="4" w:space="0" w:color="auto"/>
              <w:right w:val="nil"/>
            </w:tcBorders>
          </w:tcPr>
          <w:p w14:paraId="1CBA1F42"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2B4DE432"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4397</w:t>
            </w:r>
          </w:p>
        </w:tc>
        <w:tc>
          <w:tcPr>
            <w:tcW w:w="2016" w:type="dxa"/>
            <w:tcBorders>
              <w:top w:val="nil"/>
              <w:left w:val="nil"/>
              <w:bottom w:val="single" w:sz="4" w:space="0" w:color="auto"/>
              <w:right w:val="nil"/>
            </w:tcBorders>
          </w:tcPr>
          <w:p w14:paraId="66381500"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4397</w:t>
            </w:r>
          </w:p>
        </w:tc>
      </w:tr>
    </w:tbl>
    <w:p w14:paraId="2BB9DA3A" w14:textId="77777777" w:rsidR="00135225" w:rsidRDefault="00135225" w:rsidP="0013522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3F5B160" w14:textId="3C0ACC21" w:rsidR="00135225" w:rsidRDefault="00135225" w:rsidP="0013522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tbl>
      <w:tblPr>
        <w:tblW w:w="0" w:type="auto"/>
        <w:tblLayout w:type="fixed"/>
        <w:tblLook w:val="0000" w:firstRow="0" w:lastRow="0" w:firstColumn="0" w:lastColumn="0" w:noHBand="0" w:noVBand="0"/>
      </w:tblPr>
      <w:tblGrid>
        <w:gridCol w:w="1656"/>
        <w:gridCol w:w="2016"/>
        <w:gridCol w:w="2016"/>
      </w:tblGrid>
      <w:tr w:rsidR="004E57C0" w14:paraId="1E403DBC" w14:textId="77777777" w:rsidTr="00DF39FB">
        <w:tc>
          <w:tcPr>
            <w:tcW w:w="1656" w:type="dxa"/>
            <w:tcBorders>
              <w:top w:val="single" w:sz="4" w:space="0" w:color="auto"/>
              <w:left w:val="nil"/>
              <w:bottom w:val="nil"/>
              <w:right w:val="nil"/>
            </w:tcBorders>
          </w:tcPr>
          <w:p w14:paraId="21F76075"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A3C3D06"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3FDE4D2"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E57C0" w14:paraId="3693B7E0" w14:textId="77777777" w:rsidTr="00DF39FB">
        <w:tc>
          <w:tcPr>
            <w:tcW w:w="1656" w:type="dxa"/>
            <w:tcBorders>
              <w:top w:val="nil"/>
              <w:left w:val="nil"/>
              <w:bottom w:val="nil"/>
              <w:right w:val="nil"/>
            </w:tcBorders>
          </w:tcPr>
          <w:p w14:paraId="218D08ED"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A9C2558"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c>
          <w:tcPr>
            <w:tcW w:w="2016" w:type="dxa"/>
            <w:tcBorders>
              <w:top w:val="nil"/>
              <w:left w:val="nil"/>
              <w:bottom w:val="nil"/>
              <w:right w:val="nil"/>
            </w:tcBorders>
          </w:tcPr>
          <w:p w14:paraId="1351721F"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r>
      <w:tr w:rsidR="004E57C0" w14:paraId="4F56597E" w14:textId="77777777" w:rsidTr="00DF39FB">
        <w:tc>
          <w:tcPr>
            <w:tcW w:w="1656" w:type="dxa"/>
            <w:tcBorders>
              <w:top w:val="single" w:sz="4" w:space="0" w:color="auto"/>
              <w:left w:val="nil"/>
              <w:bottom w:val="nil"/>
              <w:right w:val="nil"/>
            </w:tcBorders>
          </w:tcPr>
          <w:p w14:paraId="5C01D115"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irregtd</w:t>
            </w:r>
            <w:proofErr w:type="spellEnd"/>
          </w:p>
        </w:tc>
        <w:tc>
          <w:tcPr>
            <w:tcW w:w="2016" w:type="dxa"/>
            <w:tcBorders>
              <w:top w:val="single" w:sz="4" w:space="0" w:color="auto"/>
              <w:left w:val="nil"/>
              <w:bottom w:val="nil"/>
              <w:right w:val="nil"/>
            </w:tcBorders>
          </w:tcPr>
          <w:p w14:paraId="4CBF021F"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c>
          <w:tcPr>
            <w:tcW w:w="2016" w:type="dxa"/>
            <w:tcBorders>
              <w:top w:val="single" w:sz="4" w:space="0" w:color="auto"/>
              <w:left w:val="nil"/>
              <w:bottom w:val="nil"/>
              <w:right w:val="nil"/>
            </w:tcBorders>
          </w:tcPr>
          <w:p w14:paraId="56C143E4"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-0.0243</w:t>
            </w:r>
          </w:p>
        </w:tc>
      </w:tr>
      <w:tr w:rsidR="004E57C0" w14:paraId="375E8C9A" w14:textId="77777777" w:rsidTr="00DF39FB">
        <w:tc>
          <w:tcPr>
            <w:tcW w:w="1656" w:type="dxa"/>
            <w:tcBorders>
              <w:top w:val="nil"/>
              <w:left w:val="nil"/>
              <w:bottom w:val="nil"/>
              <w:right w:val="nil"/>
            </w:tcBorders>
          </w:tcPr>
          <w:p w14:paraId="3EB4248B"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EAC64F"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2016" w:type="dxa"/>
            <w:tcBorders>
              <w:top w:val="nil"/>
              <w:left w:val="nil"/>
              <w:bottom w:val="nil"/>
              <w:right w:val="nil"/>
            </w:tcBorders>
          </w:tcPr>
          <w:p w14:paraId="0CC68810"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w:t>
            </w:r>
          </w:p>
        </w:tc>
      </w:tr>
      <w:tr w:rsidR="004E57C0" w14:paraId="019FAAD6" w14:textId="77777777" w:rsidTr="00DF39FB">
        <w:tc>
          <w:tcPr>
            <w:tcW w:w="1656" w:type="dxa"/>
            <w:tcBorders>
              <w:top w:val="nil"/>
              <w:left w:val="nil"/>
              <w:bottom w:val="nil"/>
              <w:right w:val="nil"/>
            </w:tcBorders>
          </w:tcPr>
          <w:p w14:paraId="4144D207"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83A2778"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A08E0AA"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r>
      <w:tr w:rsidR="004E57C0" w14:paraId="46CDDBA6" w14:textId="77777777" w:rsidTr="00DF39FB">
        <w:tc>
          <w:tcPr>
            <w:tcW w:w="1656" w:type="dxa"/>
            <w:tcBorders>
              <w:top w:val="nil"/>
              <w:left w:val="nil"/>
              <w:bottom w:val="nil"/>
              <w:right w:val="nil"/>
            </w:tcBorders>
          </w:tcPr>
          <w:p w14:paraId="65697562"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19C91FCD"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3D5A954"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0.375</w:t>
            </w:r>
            <w:r>
              <w:rPr>
                <w:rFonts w:ascii="Times New Roman" w:hAnsi="Times New Roman" w:cs="Times New Roman"/>
                <w:sz w:val="24"/>
                <w:szCs w:val="24"/>
                <w:vertAlign w:val="superscript"/>
              </w:rPr>
              <w:t>***</w:t>
            </w:r>
          </w:p>
        </w:tc>
      </w:tr>
      <w:tr w:rsidR="004E57C0" w14:paraId="4CDDC5FC" w14:textId="77777777" w:rsidTr="00DF39FB">
        <w:tc>
          <w:tcPr>
            <w:tcW w:w="1656" w:type="dxa"/>
            <w:tcBorders>
              <w:top w:val="nil"/>
              <w:left w:val="nil"/>
              <w:bottom w:val="single" w:sz="4" w:space="0" w:color="auto"/>
              <w:right w:val="nil"/>
            </w:tcBorders>
          </w:tcPr>
          <w:p w14:paraId="62704ADE"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08F4FF24"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(49.76)</w:t>
            </w:r>
          </w:p>
        </w:tc>
        <w:tc>
          <w:tcPr>
            <w:tcW w:w="2016" w:type="dxa"/>
            <w:tcBorders>
              <w:top w:val="nil"/>
              <w:left w:val="nil"/>
              <w:bottom w:val="single" w:sz="4" w:space="0" w:color="auto"/>
              <w:right w:val="nil"/>
            </w:tcBorders>
          </w:tcPr>
          <w:p w14:paraId="39ECCF69"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(165.49)</w:t>
            </w:r>
          </w:p>
        </w:tc>
      </w:tr>
      <w:tr w:rsidR="004E57C0" w14:paraId="51A4018B" w14:textId="77777777" w:rsidTr="00DF39FB">
        <w:tc>
          <w:tcPr>
            <w:tcW w:w="1656" w:type="dxa"/>
            <w:tcBorders>
              <w:top w:val="nil"/>
              <w:left w:val="nil"/>
              <w:bottom w:val="single" w:sz="4" w:space="0" w:color="auto"/>
              <w:right w:val="nil"/>
            </w:tcBorders>
          </w:tcPr>
          <w:p w14:paraId="73014264"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25CDB1C"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4726</w:t>
            </w:r>
          </w:p>
        </w:tc>
        <w:tc>
          <w:tcPr>
            <w:tcW w:w="2016" w:type="dxa"/>
            <w:tcBorders>
              <w:top w:val="nil"/>
              <w:left w:val="nil"/>
              <w:bottom w:val="single" w:sz="4" w:space="0" w:color="auto"/>
              <w:right w:val="nil"/>
            </w:tcBorders>
          </w:tcPr>
          <w:p w14:paraId="0F4E807D"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4726</w:t>
            </w:r>
          </w:p>
        </w:tc>
      </w:tr>
    </w:tbl>
    <w:p w14:paraId="1BDC0BF0" w14:textId="77777777" w:rsidR="004E57C0" w:rsidRDefault="004E57C0" w:rsidP="004E57C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545F53E" w14:textId="315B5179" w:rsidR="00454D6B" w:rsidRDefault="004E57C0" w:rsidP="0013522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tbl>
      <w:tblPr>
        <w:tblW w:w="0" w:type="auto"/>
        <w:tblLayout w:type="fixed"/>
        <w:tblLook w:val="0000" w:firstRow="0" w:lastRow="0" w:firstColumn="0" w:lastColumn="0" w:noHBand="0" w:noVBand="0"/>
      </w:tblPr>
      <w:tblGrid>
        <w:gridCol w:w="1656"/>
        <w:gridCol w:w="2016"/>
        <w:gridCol w:w="2016"/>
      </w:tblGrid>
      <w:tr w:rsidR="009278D7" w14:paraId="4196FA7F" w14:textId="77777777" w:rsidTr="00005463">
        <w:tc>
          <w:tcPr>
            <w:tcW w:w="1656" w:type="dxa"/>
            <w:tcBorders>
              <w:top w:val="single" w:sz="4" w:space="0" w:color="auto"/>
              <w:left w:val="nil"/>
              <w:bottom w:val="nil"/>
              <w:right w:val="nil"/>
            </w:tcBorders>
          </w:tcPr>
          <w:p w14:paraId="7C31DEFB"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044318E"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732DDD7D"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278D7" w14:paraId="0AC8AB10" w14:textId="77777777" w:rsidTr="00005463">
        <w:tc>
          <w:tcPr>
            <w:tcW w:w="1656" w:type="dxa"/>
            <w:tcBorders>
              <w:top w:val="nil"/>
              <w:left w:val="nil"/>
              <w:bottom w:val="nil"/>
              <w:right w:val="nil"/>
            </w:tcBorders>
          </w:tcPr>
          <w:p w14:paraId="5814BE2A"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ED03DE8"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c>
          <w:tcPr>
            <w:tcW w:w="2016" w:type="dxa"/>
            <w:tcBorders>
              <w:top w:val="nil"/>
              <w:left w:val="nil"/>
              <w:bottom w:val="nil"/>
              <w:right w:val="nil"/>
            </w:tcBorders>
          </w:tcPr>
          <w:p w14:paraId="05E3AF4C"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r>
      <w:tr w:rsidR="009278D7" w14:paraId="5E80F474" w14:textId="77777777" w:rsidTr="00005463">
        <w:tc>
          <w:tcPr>
            <w:tcW w:w="1656" w:type="dxa"/>
            <w:tcBorders>
              <w:top w:val="single" w:sz="4" w:space="0" w:color="auto"/>
              <w:left w:val="nil"/>
              <w:bottom w:val="nil"/>
              <w:right w:val="nil"/>
            </w:tcBorders>
          </w:tcPr>
          <w:p w14:paraId="4F573DFB"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60F1B6B9"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0.00131</w:t>
            </w:r>
          </w:p>
        </w:tc>
        <w:tc>
          <w:tcPr>
            <w:tcW w:w="2016" w:type="dxa"/>
            <w:tcBorders>
              <w:top w:val="single" w:sz="4" w:space="0" w:color="auto"/>
              <w:left w:val="nil"/>
              <w:bottom w:val="nil"/>
              <w:right w:val="nil"/>
            </w:tcBorders>
          </w:tcPr>
          <w:p w14:paraId="33FBD0AB"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-0.00944</w:t>
            </w:r>
            <w:r>
              <w:rPr>
                <w:rFonts w:ascii="Times New Roman" w:hAnsi="Times New Roman" w:cs="Times New Roman"/>
                <w:sz w:val="24"/>
                <w:szCs w:val="24"/>
                <w:vertAlign w:val="superscript"/>
              </w:rPr>
              <w:t>*</w:t>
            </w:r>
          </w:p>
        </w:tc>
      </w:tr>
      <w:tr w:rsidR="009278D7" w14:paraId="0E1DF7A3" w14:textId="77777777" w:rsidTr="00005463">
        <w:tc>
          <w:tcPr>
            <w:tcW w:w="1656" w:type="dxa"/>
            <w:tcBorders>
              <w:top w:val="nil"/>
              <w:left w:val="nil"/>
              <w:bottom w:val="nil"/>
              <w:right w:val="nil"/>
            </w:tcBorders>
          </w:tcPr>
          <w:p w14:paraId="142EF929"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194666"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2016" w:type="dxa"/>
            <w:tcBorders>
              <w:top w:val="nil"/>
              <w:left w:val="nil"/>
              <w:bottom w:val="nil"/>
              <w:right w:val="nil"/>
            </w:tcBorders>
          </w:tcPr>
          <w:p w14:paraId="09AEB337"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9278D7" w14:paraId="2DF9F83C" w14:textId="77777777" w:rsidTr="00005463">
        <w:tc>
          <w:tcPr>
            <w:tcW w:w="1656" w:type="dxa"/>
            <w:tcBorders>
              <w:top w:val="nil"/>
              <w:left w:val="nil"/>
              <w:bottom w:val="nil"/>
              <w:right w:val="nil"/>
            </w:tcBorders>
          </w:tcPr>
          <w:p w14:paraId="2EB1D39A"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70F74F0"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7060BA8"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r>
      <w:tr w:rsidR="009278D7" w14:paraId="1ED6B59A" w14:textId="77777777" w:rsidTr="00005463">
        <w:tc>
          <w:tcPr>
            <w:tcW w:w="1656" w:type="dxa"/>
            <w:tcBorders>
              <w:top w:val="nil"/>
              <w:left w:val="nil"/>
              <w:bottom w:val="nil"/>
              <w:right w:val="nil"/>
            </w:tcBorders>
          </w:tcPr>
          <w:p w14:paraId="69B4E538"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5BCA83DD"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0.368</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3318C0E"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0.442</w:t>
            </w:r>
            <w:r>
              <w:rPr>
                <w:rFonts w:ascii="Times New Roman" w:hAnsi="Times New Roman" w:cs="Times New Roman"/>
                <w:sz w:val="24"/>
                <w:szCs w:val="24"/>
                <w:vertAlign w:val="superscript"/>
              </w:rPr>
              <w:t>***</w:t>
            </w:r>
          </w:p>
        </w:tc>
      </w:tr>
      <w:tr w:rsidR="009278D7" w14:paraId="45293AE6" w14:textId="77777777" w:rsidTr="00005463">
        <w:tc>
          <w:tcPr>
            <w:tcW w:w="1656" w:type="dxa"/>
            <w:tcBorders>
              <w:top w:val="nil"/>
              <w:left w:val="nil"/>
              <w:bottom w:val="single" w:sz="4" w:space="0" w:color="auto"/>
              <w:right w:val="nil"/>
            </w:tcBorders>
          </w:tcPr>
          <w:p w14:paraId="2E01977C"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0E1D45EB"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(30.16)</w:t>
            </w:r>
          </w:p>
        </w:tc>
        <w:tc>
          <w:tcPr>
            <w:tcW w:w="2016" w:type="dxa"/>
            <w:tcBorders>
              <w:top w:val="nil"/>
              <w:left w:val="nil"/>
              <w:bottom w:val="single" w:sz="4" w:space="0" w:color="auto"/>
              <w:right w:val="nil"/>
            </w:tcBorders>
          </w:tcPr>
          <w:p w14:paraId="141001FE"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(14.50)</w:t>
            </w:r>
          </w:p>
        </w:tc>
      </w:tr>
      <w:tr w:rsidR="009278D7" w14:paraId="245AE73B" w14:textId="77777777" w:rsidTr="00005463">
        <w:tc>
          <w:tcPr>
            <w:tcW w:w="1656" w:type="dxa"/>
            <w:tcBorders>
              <w:top w:val="nil"/>
              <w:left w:val="nil"/>
              <w:bottom w:val="single" w:sz="4" w:space="0" w:color="auto"/>
              <w:right w:val="nil"/>
            </w:tcBorders>
          </w:tcPr>
          <w:p w14:paraId="59C56A49"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058B5F78"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5273</w:t>
            </w:r>
          </w:p>
        </w:tc>
        <w:tc>
          <w:tcPr>
            <w:tcW w:w="2016" w:type="dxa"/>
            <w:tcBorders>
              <w:top w:val="nil"/>
              <w:left w:val="nil"/>
              <w:bottom w:val="single" w:sz="4" w:space="0" w:color="auto"/>
              <w:right w:val="nil"/>
            </w:tcBorders>
          </w:tcPr>
          <w:p w14:paraId="4EDA361D"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5273</w:t>
            </w:r>
          </w:p>
        </w:tc>
      </w:tr>
    </w:tbl>
    <w:p w14:paraId="4E657D1A" w14:textId="77777777" w:rsidR="009278D7" w:rsidRDefault="009278D7" w:rsidP="009278D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67D30E7" w14:textId="77777777" w:rsidR="009278D7" w:rsidRDefault="009278D7" w:rsidP="009278D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856CEFA" w14:textId="77777777" w:rsidR="00E5196C" w:rsidRDefault="00E5196C" w:rsidP="00BF3A2C">
      <w:pPr>
        <w:rPr>
          <w:rFonts w:ascii="Times New Roman" w:hAnsi="Times New Roman" w:cs="Times New Roman"/>
          <w:sz w:val="20"/>
          <w:szCs w:val="20"/>
        </w:rPr>
      </w:pPr>
    </w:p>
    <w:p w14:paraId="4A777F37" w14:textId="77777777" w:rsidR="004859DA" w:rsidRDefault="00312B7A" w:rsidP="00BF3A2C">
      <w:r>
        <w:t>Overall, the full sample results</w:t>
      </w:r>
      <w:r w:rsidR="006934F0">
        <w:t xml:space="preserve"> lend credence to a political business cycle </w:t>
      </w:r>
      <w:r w:rsidR="005E3C3C">
        <w:t>type model for de jure central bank independence</w:t>
      </w:r>
      <w:r w:rsidR="00DE4EDD">
        <w:t>, holding for results on the turnover of heads of state</w:t>
      </w:r>
      <w:r w:rsidR="00A2147F">
        <w:t xml:space="preserve"> and in the lower chamber</w:t>
      </w:r>
      <w:r w:rsidR="007A010B">
        <w:t>.</w:t>
      </w:r>
      <w:r w:rsidR="00BB4919">
        <w:t xml:space="preserve"> Higher de jure independence is </w:t>
      </w:r>
      <w:r w:rsidR="004F1368">
        <w:t xml:space="preserve">also </w:t>
      </w:r>
      <w:r w:rsidR="00BB4919">
        <w:t>clearly related to more political instability.</w:t>
      </w:r>
    </w:p>
    <w:p w14:paraId="1FAC95AA" w14:textId="6BF5F26F" w:rsidR="00E6308F" w:rsidRDefault="00AC61CD" w:rsidP="00BF3A2C">
      <w:r>
        <w:t>The picture for de facto central bank independence</w:t>
      </w:r>
      <w:r w:rsidR="00AF20D4">
        <w:t xml:space="preserve"> through</w:t>
      </w:r>
      <w:r>
        <w:t xml:space="preserve"> governor turnover, </w:t>
      </w:r>
      <w:r w:rsidR="00E51986">
        <w:t>however, appears to be different</w:t>
      </w:r>
      <w:r>
        <w:t>.</w:t>
      </w:r>
      <w:r w:rsidR="00FF44B1">
        <w:t xml:space="preserve"> </w:t>
      </w:r>
      <w:r w:rsidR="001D78B3">
        <w:t xml:space="preserve">Irregular </w:t>
      </w:r>
      <w:r w:rsidR="00EE5412">
        <w:t xml:space="preserve">central bank governor </w:t>
      </w:r>
      <w:r w:rsidR="001D78B3">
        <w:t xml:space="preserve">turnover events </w:t>
      </w:r>
      <w:r w:rsidR="0049494C">
        <w:t xml:space="preserve">(low de facto central bank independence) </w:t>
      </w:r>
      <w:r w:rsidR="001F1456">
        <w:t>appear</w:t>
      </w:r>
      <w:r w:rsidR="0049494C">
        <w:t>s</w:t>
      </w:r>
      <w:r w:rsidR="001F1456">
        <w:t xml:space="preserve"> to be </w:t>
      </w:r>
      <w:r w:rsidR="002228F3">
        <w:t xml:space="preserve">the only variable </w:t>
      </w:r>
      <w:r w:rsidR="001F1456">
        <w:t>related to change in the head of government</w:t>
      </w:r>
      <w:r w:rsidR="00914EE0">
        <w:t>.</w:t>
      </w:r>
      <w:r w:rsidR="007457FB">
        <w:t xml:space="preserve"> It also related to </w:t>
      </w:r>
      <w:r w:rsidR="000F2058">
        <w:t xml:space="preserve">more change in the </w:t>
      </w:r>
      <w:r w:rsidR="00BF4597">
        <w:t>lower chamber.</w:t>
      </w:r>
      <w:r w:rsidR="00A0128C">
        <w:t xml:space="preserve"> </w:t>
      </w:r>
      <w:r w:rsidR="00985F22">
        <w:t>De facto independence appear</w:t>
      </w:r>
      <w:r w:rsidR="00464EB6">
        <w:t>s</w:t>
      </w:r>
      <w:r w:rsidR="00985F22">
        <w:t xml:space="preserve"> to </w:t>
      </w:r>
      <w:r w:rsidR="00464EB6">
        <w:t xml:space="preserve">be related to </w:t>
      </w:r>
      <w:r w:rsidR="00985F22">
        <w:t>increase</w:t>
      </w:r>
      <w:r w:rsidR="00464EB6">
        <w:t>d</w:t>
      </w:r>
      <w:r w:rsidR="00985F22">
        <w:t xml:space="preserve"> </w:t>
      </w:r>
      <w:r w:rsidR="00013F54">
        <w:t>electoral stability.</w:t>
      </w:r>
      <w:r w:rsidR="003001C5">
        <w:t xml:space="preserve"> Relations with political stability are not significant.</w:t>
      </w:r>
    </w:p>
    <w:p w14:paraId="16FD8E75" w14:textId="610A5DFF" w:rsidR="00213E87" w:rsidRDefault="00755DE1" w:rsidP="00BF3A2C">
      <w:r>
        <w:t>F</w:t>
      </w:r>
      <w:r w:rsidR="00027DC6">
        <w:t>ixed</w:t>
      </w:r>
      <w:r w:rsidR="00731ED3">
        <w:t xml:space="preserve"> e</w:t>
      </w:r>
      <w:r w:rsidR="005D1988">
        <w:t xml:space="preserve">xchange rates are related to </w:t>
      </w:r>
      <w:r w:rsidR="00027DC6">
        <w:t>less</w:t>
      </w:r>
      <w:r w:rsidR="00B713B7">
        <w:t xml:space="preserve"> </w:t>
      </w:r>
      <w:r w:rsidR="005D1988">
        <w:t>turnover in the head of state</w:t>
      </w:r>
      <w:r>
        <w:t xml:space="preserve">, but there </w:t>
      </w:r>
      <w:r w:rsidR="00AE1129">
        <w:t xml:space="preserve">is no significant relation for other positions. </w:t>
      </w:r>
      <w:r w:rsidR="00872EA0">
        <w:t>The sign</w:t>
      </w:r>
      <w:r w:rsidR="00386535">
        <w:t xml:space="preserve"> of the relationship</w:t>
      </w:r>
      <w:r w:rsidR="00872EA0">
        <w:t xml:space="preserve"> for exchange rates and political instability is </w:t>
      </w:r>
      <w:r w:rsidR="00375048">
        <w:t>not clear</w:t>
      </w:r>
      <w:r w:rsidR="00872EA0">
        <w:t xml:space="preserve">, </w:t>
      </w:r>
      <w:r w:rsidR="00872EA0">
        <w:lastRenderedPageBreak/>
        <w:t xml:space="preserve">with conflicting results based on the usage of </w:t>
      </w:r>
      <w:r w:rsidR="0004683A">
        <w:t>World Bank indicators which indicate fixed rates in</w:t>
      </w:r>
      <w:r w:rsidR="003A03FF">
        <w:t>crease stability,</w:t>
      </w:r>
      <w:r w:rsidR="00C75E1C">
        <w:t xml:space="preserve"> and event indicators which indicate that </w:t>
      </w:r>
      <w:r w:rsidR="00F374D1">
        <w:t>they decrease it.</w:t>
      </w:r>
    </w:p>
    <w:p w14:paraId="383D0052" w14:textId="17420FDA" w:rsidR="00967C9A" w:rsidRDefault="00967C9A" w:rsidP="00BF3A2C">
      <w:pPr>
        <w:rPr>
          <w:highlight w:val="cyan"/>
        </w:rPr>
      </w:pPr>
      <w:r w:rsidRPr="00C45975">
        <w:rPr>
          <w:i/>
          <w:iCs/>
          <w:highlight w:val="cyan"/>
        </w:rPr>
        <w:t xml:space="preserve">I will likely cut </w:t>
      </w:r>
      <w:proofErr w:type="gramStart"/>
      <w:r w:rsidRPr="00C45975">
        <w:rPr>
          <w:i/>
          <w:iCs/>
          <w:highlight w:val="cyan"/>
        </w:rPr>
        <w:t>all of</w:t>
      </w:r>
      <w:proofErr w:type="gramEnd"/>
      <w:r w:rsidRPr="00C45975">
        <w:rPr>
          <w:i/>
          <w:iCs/>
          <w:highlight w:val="cyan"/>
        </w:rPr>
        <w:t xml:space="preserve"> this material </w:t>
      </w:r>
      <w:r>
        <w:rPr>
          <w:i/>
          <w:iCs/>
          <w:highlight w:val="cyan"/>
        </w:rPr>
        <w:t xml:space="preserve">highlighted in blue </w:t>
      </w:r>
      <w:r w:rsidRPr="00C45975">
        <w:rPr>
          <w:i/>
          <w:iCs/>
          <w:highlight w:val="cyan"/>
        </w:rPr>
        <w:t>due to low sample size and hence insignificance.</w:t>
      </w:r>
    </w:p>
    <w:p w14:paraId="01DD3F34" w14:textId="69032205" w:rsidR="00C45975" w:rsidRPr="00967C9A" w:rsidRDefault="00E5196C" w:rsidP="00BF3A2C">
      <w:pPr>
        <w:rPr>
          <w:highlight w:val="cyan"/>
        </w:rPr>
      </w:pPr>
      <w:r w:rsidRPr="00C45975">
        <w:rPr>
          <w:highlight w:val="cyan"/>
        </w:rPr>
        <w:t>T</w:t>
      </w:r>
      <w:r w:rsidR="009A1185" w:rsidRPr="00C45975">
        <w:rPr>
          <w:highlight w:val="cyan"/>
        </w:rPr>
        <w:t xml:space="preserve">o test more specific theoretical predictions </w:t>
      </w:r>
      <w:r w:rsidR="0020141A" w:rsidRPr="00C45975">
        <w:rPr>
          <w:highlight w:val="cyan"/>
        </w:rPr>
        <w:t xml:space="preserve">mentioned earlier in the paper, </w:t>
      </w:r>
      <w:r w:rsidR="009A1185" w:rsidRPr="00C45975">
        <w:rPr>
          <w:highlight w:val="cyan"/>
        </w:rPr>
        <w:t xml:space="preserve">the sample was split into four groups </w:t>
      </w:r>
      <w:r w:rsidR="003E4CE2" w:rsidRPr="00C45975">
        <w:rPr>
          <w:highlight w:val="cyan"/>
        </w:rPr>
        <w:t xml:space="preserve">according to </w:t>
      </w:r>
      <w:proofErr w:type="spellStart"/>
      <w:r w:rsidR="003E4CE2" w:rsidRPr="00C45975">
        <w:rPr>
          <w:highlight w:val="cyan"/>
        </w:rPr>
        <w:t>PolityIV</w:t>
      </w:r>
      <w:proofErr w:type="spellEnd"/>
      <w:r w:rsidR="003E4CE2" w:rsidRPr="00C45975">
        <w:rPr>
          <w:highlight w:val="cyan"/>
        </w:rPr>
        <w:t xml:space="preserve"> </w:t>
      </w:r>
      <w:r w:rsidR="00ED69CA" w:rsidRPr="00C45975">
        <w:rPr>
          <w:highlight w:val="cyan"/>
        </w:rPr>
        <w:t xml:space="preserve">executive constraints and </w:t>
      </w:r>
      <w:r w:rsidR="00B02DA4" w:rsidRPr="00C45975">
        <w:rPr>
          <w:highlight w:val="cyan"/>
        </w:rPr>
        <w:t>party competition.</w:t>
      </w:r>
      <w:r w:rsidR="008B45A8" w:rsidRPr="00C45975">
        <w:rPr>
          <w:highlight w:val="cyan"/>
        </w:rPr>
        <w:t xml:space="preserve"> For head of government</w:t>
      </w:r>
      <w:r w:rsidR="005422C7" w:rsidRPr="00C45975">
        <w:rPr>
          <w:highlight w:val="cyan"/>
        </w:rPr>
        <w:t>,</w:t>
      </w:r>
      <w:r w:rsidR="008B45A8" w:rsidRPr="00C45975">
        <w:rPr>
          <w:highlight w:val="cyan"/>
        </w:rPr>
        <w:t xml:space="preserve"> head of state, </w:t>
      </w:r>
      <w:r w:rsidR="005422C7" w:rsidRPr="00C45975">
        <w:rPr>
          <w:highlight w:val="cyan"/>
        </w:rPr>
        <w:t xml:space="preserve">and lower election chambers, </w:t>
      </w:r>
      <w:r w:rsidR="008B45A8" w:rsidRPr="00C45975">
        <w:rPr>
          <w:highlight w:val="cyan"/>
        </w:rPr>
        <w:t>the predictive power of legal central bank independence unfortunately decreased.</w:t>
      </w:r>
    </w:p>
    <w:tbl>
      <w:tblPr>
        <w:tblW w:w="0" w:type="auto"/>
        <w:tblLayout w:type="fixed"/>
        <w:tblLook w:val="0000" w:firstRow="0" w:lastRow="0" w:firstColumn="0" w:lastColumn="0" w:noHBand="0" w:noVBand="0"/>
      </w:tblPr>
      <w:tblGrid>
        <w:gridCol w:w="1656"/>
        <w:gridCol w:w="2016"/>
        <w:gridCol w:w="2016"/>
      </w:tblGrid>
      <w:tr w:rsidR="00DC5DEE" w:rsidRPr="00C45975" w14:paraId="78CC5292" w14:textId="77777777" w:rsidTr="00005463">
        <w:tc>
          <w:tcPr>
            <w:tcW w:w="1656" w:type="dxa"/>
            <w:tcBorders>
              <w:top w:val="single" w:sz="4" w:space="0" w:color="auto"/>
              <w:left w:val="nil"/>
              <w:bottom w:val="nil"/>
              <w:right w:val="nil"/>
            </w:tcBorders>
          </w:tcPr>
          <w:p w14:paraId="04C21A6F"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257CD91C"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1A1D745"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DC5DEE" w:rsidRPr="00C45975" w14:paraId="5ED9E8D6" w14:textId="77777777" w:rsidTr="00005463">
        <w:tc>
          <w:tcPr>
            <w:tcW w:w="1656" w:type="dxa"/>
            <w:tcBorders>
              <w:top w:val="nil"/>
              <w:left w:val="nil"/>
              <w:bottom w:val="nil"/>
              <w:right w:val="nil"/>
            </w:tcBorders>
          </w:tcPr>
          <w:p w14:paraId="5188A971"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2D93E61"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c>
          <w:tcPr>
            <w:tcW w:w="2016" w:type="dxa"/>
            <w:tcBorders>
              <w:top w:val="nil"/>
              <w:left w:val="nil"/>
              <w:bottom w:val="nil"/>
              <w:right w:val="nil"/>
            </w:tcBorders>
          </w:tcPr>
          <w:p w14:paraId="633AB90C"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r>
      <w:tr w:rsidR="00DC5DEE" w:rsidRPr="00C45975" w14:paraId="2A1F13BE" w14:textId="77777777" w:rsidTr="00005463">
        <w:tc>
          <w:tcPr>
            <w:tcW w:w="1656" w:type="dxa"/>
            <w:tcBorders>
              <w:top w:val="single" w:sz="4" w:space="0" w:color="auto"/>
              <w:left w:val="nil"/>
              <w:bottom w:val="nil"/>
              <w:right w:val="nil"/>
            </w:tcBorders>
          </w:tcPr>
          <w:p w14:paraId="68C644AA"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lvaw_gar</w:t>
            </w:r>
            <w:proofErr w:type="spellEnd"/>
          </w:p>
        </w:tc>
        <w:tc>
          <w:tcPr>
            <w:tcW w:w="2016" w:type="dxa"/>
            <w:tcBorders>
              <w:top w:val="single" w:sz="4" w:space="0" w:color="auto"/>
              <w:left w:val="nil"/>
              <w:bottom w:val="nil"/>
              <w:right w:val="nil"/>
            </w:tcBorders>
          </w:tcPr>
          <w:p w14:paraId="19450F51"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-0.0329</w:t>
            </w:r>
          </w:p>
        </w:tc>
        <w:tc>
          <w:tcPr>
            <w:tcW w:w="2016" w:type="dxa"/>
            <w:tcBorders>
              <w:top w:val="single" w:sz="4" w:space="0" w:color="auto"/>
              <w:left w:val="nil"/>
              <w:bottom w:val="nil"/>
              <w:right w:val="nil"/>
            </w:tcBorders>
          </w:tcPr>
          <w:p w14:paraId="09695CF0"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-0.237</w:t>
            </w:r>
          </w:p>
        </w:tc>
      </w:tr>
      <w:tr w:rsidR="00DC5DEE" w:rsidRPr="00C45975" w14:paraId="1D936619" w14:textId="77777777" w:rsidTr="00005463">
        <w:tc>
          <w:tcPr>
            <w:tcW w:w="1656" w:type="dxa"/>
            <w:tcBorders>
              <w:top w:val="nil"/>
              <w:left w:val="nil"/>
              <w:bottom w:val="nil"/>
              <w:right w:val="nil"/>
            </w:tcBorders>
          </w:tcPr>
          <w:p w14:paraId="05452E7A"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A14B89D"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(-0.22)</w:t>
            </w:r>
          </w:p>
        </w:tc>
        <w:tc>
          <w:tcPr>
            <w:tcW w:w="2016" w:type="dxa"/>
            <w:tcBorders>
              <w:top w:val="nil"/>
              <w:left w:val="nil"/>
              <w:bottom w:val="nil"/>
              <w:right w:val="nil"/>
            </w:tcBorders>
          </w:tcPr>
          <w:p w14:paraId="17FB4504"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(-0.99)</w:t>
            </w:r>
          </w:p>
        </w:tc>
      </w:tr>
      <w:tr w:rsidR="00DC5DEE" w:rsidRPr="00C45975" w14:paraId="67AA7339" w14:textId="77777777" w:rsidTr="00005463">
        <w:tc>
          <w:tcPr>
            <w:tcW w:w="1656" w:type="dxa"/>
            <w:tcBorders>
              <w:top w:val="nil"/>
              <w:left w:val="nil"/>
              <w:bottom w:val="nil"/>
              <w:right w:val="nil"/>
            </w:tcBorders>
          </w:tcPr>
          <w:p w14:paraId="3AC09709"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96F18D4"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618275B"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DC5DEE" w:rsidRPr="00C45975" w14:paraId="38457F11" w14:textId="77777777" w:rsidTr="00005463">
        <w:tc>
          <w:tcPr>
            <w:tcW w:w="1656" w:type="dxa"/>
            <w:tcBorders>
              <w:top w:val="nil"/>
              <w:left w:val="nil"/>
              <w:bottom w:val="nil"/>
              <w:right w:val="nil"/>
            </w:tcBorders>
          </w:tcPr>
          <w:p w14:paraId="11132F25"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28046553"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0.843</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BAFF48C"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0.951</w:t>
            </w:r>
            <w:r w:rsidRPr="00C45975">
              <w:rPr>
                <w:rFonts w:ascii="Times New Roman" w:hAnsi="Times New Roman" w:cs="Times New Roman"/>
                <w:sz w:val="24"/>
                <w:szCs w:val="24"/>
                <w:highlight w:val="cyan"/>
                <w:vertAlign w:val="superscript"/>
              </w:rPr>
              <w:t>***</w:t>
            </w:r>
          </w:p>
        </w:tc>
      </w:tr>
      <w:tr w:rsidR="00DC5DEE" w:rsidRPr="00C45975" w14:paraId="6FE36046" w14:textId="77777777" w:rsidTr="00005463">
        <w:tc>
          <w:tcPr>
            <w:tcW w:w="1656" w:type="dxa"/>
            <w:tcBorders>
              <w:top w:val="nil"/>
              <w:left w:val="nil"/>
              <w:bottom w:val="single" w:sz="4" w:space="0" w:color="auto"/>
              <w:right w:val="nil"/>
            </w:tcBorders>
          </w:tcPr>
          <w:p w14:paraId="5D2891B4"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786AA11F"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(9.78)</w:t>
            </w:r>
          </w:p>
        </w:tc>
        <w:tc>
          <w:tcPr>
            <w:tcW w:w="2016" w:type="dxa"/>
            <w:tcBorders>
              <w:top w:val="nil"/>
              <w:left w:val="nil"/>
              <w:bottom w:val="single" w:sz="4" w:space="0" w:color="auto"/>
              <w:right w:val="nil"/>
            </w:tcBorders>
          </w:tcPr>
          <w:p w14:paraId="2DB41055"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(7.54)</w:t>
            </w:r>
          </w:p>
        </w:tc>
      </w:tr>
      <w:tr w:rsidR="00DC5DEE" w:rsidRPr="00C45975" w14:paraId="3046E4A6" w14:textId="77777777" w:rsidTr="00005463">
        <w:tc>
          <w:tcPr>
            <w:tcW w:w="1656" w:type="dxa"/>
            <w:tcBorders>
              <w:top w:val="nil"/>
              <w:left w:val="nil"/>
              <w:bottom w:val="single" w:sz="4" w:space="0" w:color="auto"/>
              <w:right w:val="nil"/>
            </w:tcBorders>
          </w:tcPr>
          <w:p w14:paraId="00F13DA4"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41D678BF"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798</w:t>
            </w:r>
          </w:p>
        </w:tc>
        <w:tc>
          <w:tcPr>
            <w:tcW w:w="2016" w:type="dxa"/>
            <w:tcBorders>
              <w:top w:val="nil"/>
              <w:left w:val="nil"/>
              <w:bottom w:val="single" w:sz="4" w:space="0" w:color="auto"/>
              <w:right w:val="nil"/>
            </w:tcBorders>
          </w:tcPr>
          <w:p w14:paraId="5BE30BC1"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798</w:t>
            </w:r>
          </w:p>
        </w:tc>
      </w:tr>
    </w:tbl>
    <w:p w14:paraId="2ABE7F9C" w14:textId="77777777" w:rsidR="00DC5DEE" w:rsidRPr="00C45975" w:rsidRDefault="00DC5DEE" w:rsidP="00DC5DEE">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69324C33" w14:textId="49CAE752" w:rsidR="00DC5DEE" w:rsidRPr="00C45975" w:rsidRDefault="00DC5DEE" w:rsidP="00DC5DEE">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08190797" w14:textId="77777777" w:rsidR="00052B23" w:rsidRPr="00C45975" w:rsidRDefault="00052B23" w:rsidP="00DC5DEE">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052B23" w:rsidRPr="00C45975" w14:paraId="01F4747B" w14:textId="77777777" w:rsidTr="00005463">
        <w:tc>
          <w:tcPr>
            <w:tcW w:w="1656" w:type="dxa"/>
            <w:tcBorders>
              <w:top w:val="single" w:sz="4" w:space="0" w:color="auto"/>
              <w:left w:val="nil"/>
              <w:bottom w:val="nil"/>
              <w:right w:val="nil"/>
            </w:tcBorders>
          </w:tcPr>
          <w:p w14:paraId="627415BB"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1A72A2F1"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3AE1C2A1"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52B23" w:rsidRPr="00C45975" w14:paraId="38E93A50" w14:textId="77777777" w:rsidTr="00005463">
        <w:tc>
          <w:tcPr>
            <w:tcW w:w="1656" w:type="dxa"/>
            <w:tcBorders>
              <w:top w:val="nil"/>
              <w:left w:val="nil"/>
              <w:bottom w:val="nil"/>
              <w:right w:val="nil"/>
            </w:tcBorders>
          </w:tcPr>
          <w:p w14:paraId="1A254BEE"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3DEBA9D"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c>
          <w:tcPr>
            <w:tcW w:w="2016" w:type="dxa"/>
            <w:tcBorders>
              <w:top w:val="nil"/>
              <w:left w:val="nil"/>
              <w:bottom w:val="nil"/>
              <w:right w:val="nil"/>
            </w:tcBorders>
          </w:tcPr>
          <w:p w14:paraId="32A9D8A7"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r>
      <w:tr w:rsidR="00052B23" w:rsidRPr="00C45975" w14:paraId="0B7ED521" w14:textId="77777777" w:rsidTr="00005463">
        <w:tc>
          <w:tcPr>
            <w:tcW w:w="1656" w:type="dxa"/>
            <w:tcBorders>
              <w:top w:val="single" w:sz="4" w:space="0" w:color="auto"/>
              <w:left w:val="nil"/>
              <w:bottom w:val="nil"/>
              <w:right w:val="nil"/>
            </w:tcBorders>
          </w:tcPr>
          <w:p w14:paraId="666ED904"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45885302"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0.00997</w:t>
            </w:r>
          </w:p>
        </w:tc>
        <w:tc>
          <w:tcPr>
            <w:tcW w:w="2016" w:type="dxa"/>
            <w:tcBorders>
              <w:top w:val="single" w:sz="4" w:space="0" w:color="auto"/>
              <w:left w:val="nil"/>
              <w:bottom w:val="nil"/>
              <w:right w:val="nil"/>
            </w:tcBorders>
          </w:tcPr>
          <w:p w14:paraId="19E5446D"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-0.00188</w:t>
            </w:r>
          </w:p>
        </w:tc>
      </w:tr>
      <w:tr w:rsidR="00052B23" w:rsidRPr="00C45975" w14:paraId="446D5DA8" w14:textId="77777777" w:rsidTr="00005463">
        <w:tc>
          <w:tcPr>
            <w:tcW w:w="1656" w:type="dxa"/>
            <w:tcBorders>
              <w:top w:val="nil"/>
              <w:left w:val="nil"/>
              <w:bottom w:val="nil"/>
              <w:right w:val="nil"/>
            </w:tcBorders>
          </w:tcPr>
          <w:p w14:paraId="1BC30A10"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465CEB2"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(1.44)</w:t>
            </w:r>
          </w:p>
        </w:tc>
        <w:tc>
          <w:tcPr>
            <w:tcW w:w="2016" w:type="dxa"/>
            <w:tcBorders>
              <w:top w:val="nil"/>
              <w:left w:val="nil"/>
              <w:bottom w:val="nil"/>
              <w:right w:val="nil"/>
            </w:tcBorders>
          </w:tcPr>
          <w:p w14:paraId="70B7560E"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(-0.20)</w:t>
            </w:r>
          </w:p>
        </w:tc>
      </w:tr>
      <w:tr w:rsidR="00052B23" w:rsidRPr="00C45975" w14:paraId="2D5EDA8E" w14:textId="77777777" w:rsidTr="00005463">
        <w:tc>
          <w:tcPr>
            <w:tcW w:w="1656" w:type="dxa"/>
            <w:tcBorders>
              <w:top w:val="nil"/>
              <w:left w:val="nil"/>
              <w:bottom w:val="nil"/>
              <w:right w:val="nil"/>
            </w:tcBorders>
          </w:tcPr>
          <w:p w14:paraId="32AED890"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8B6E0AE"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AD66148"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52B23" w:rsidRPr="00C45975" w14:paraId="24A83E26" w14:textId="77777777" w:rsidTr="00005463">
        <w:tc>
          <w:tcPr>
            <w:tcW w:w="1656" w:type="dxa"/>
            <w:tcBorders>
              <w:top w:val="nil"/>
              <w:left w:val="nil"/>
              <w:bottom w:val="nil"/>
              <w:right w:val="nil"/>
            </w:tcBorders>
          </w:tcPr>
          <w:p w14:paraId="2AF3336F"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4F08E57E"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0.727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2358E725"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0.806</w:t>
            </w:r>
            <w:r w:rsidRPr="00C45975">
              <w:rPr>
                <w:rFonts w:ascii="Times New Roman" w:hAnsi="Times New Roman" w:cs="Times New Roman"/>
                <w:sz w:val="24"/>
                <w:szCs w:val="24"/>
                <w:highlight w:val="cyan"/>
                <w:vertAlign w:val="superscript"/>
              </w:rPr>
              <w:t>***</w:t>
            </w:r>
          </w:p>
        </w:tc>
      </w:tr>
      <w:tr w:rsidR="00052B23" w:rsidRPr="00C45975" w14:paraId="6EFF3A54" w14:textId="77777777" w:rsidTr="00005463">
        <w:tc>
          <w:tcPr>
            <w:tcW w:w="1656" w:type="dxa"/>
            <w:tcBorders>
              <w:top w:val="nil"/>
              <w:left w:val="nil"/>
              <w:bottom w:val="single" w:sz="4" w:space="0" w:color="auto"/>
              <w:right w:val="nil"/>
            </w:tcBorders>
          </w:tcPr>
          <w:p w14:paraId="65650B1F"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7068A3DD"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(13.34)</w:t>
            </w:r>
          </w:p>
        </w:tc>
        <w:tc>
          <w:tcPr>
            <w:tcW w:w="2016" w:type="dxa"/>
            <w:tcBorders>
              <w:top w:val="nil"/>
              <w:left w:val="nil"/>
              <w:bottom w:val="single" w:sz="4" w:space="0" w:color="auto"/>
              <w:right w:val="nil"/>
            </w:tcBorders>
          </w:tcPr>
          <w:p w14:paraId="79633BEF"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(12.92)</w:t>
            </w:r>
          </w:p>
        </w:tc>
      </w:tr>
      <w:tr w:rsidR="00052B23" w:rsidRPr="00C45975" w14:paraId="17AD2F77" w14:textId="77777777" w:rsidTr="00005463">
        <w:tc>
          <w:tcPr>
            <w:tcW w:w="1656" w:type="dxa"/>
            <w:tcBorders>
              <w:top w:val="nil"/>
              <w:left w:val="nil"/>
              <w:bottom w:val="single" w:sz="4" w:space="0" w:color="auto"/>
              <w:right w:val="nil"/>
            </w:tcBorders>
          </w:tcPr>
          <w:p w14:paraId="506DA81E"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9D76DA1"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1015</w:t>
            </w:r>
          </w:p>
        </w:tc>
        <w:tc>
          <w:tcPr>
            <w:tcW w:w="2016" w:type="dxa"/>
            <w:tcBorders>
              <w:top w:val="nil"/>
              <w:left w:val="nil"/>
              <w:bottom w:val="single" w:sz="4" w:space="0" w:color="auto"/>
              <w:right w:val="nil"/>
            </w:tcBorders>
          </w:tcPr>
          <w:p w14:paraId="78956E16"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1015</w:t>
            </w:r>
          </w:p>
        </w:tc>
      </w:tr>
    </w:tbl>
    <w:p w14:paraId="6A02AA3D" w14:textId="77777777" w:rsidR="00052B23" w:rsidRPr="00C45975" w:rsidRDefault="00052B23" w:rsidP="00052B23">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0349E757" w14:textId="3D359F95" w:rsidR="00052B23" w:rsidRPr="00C45975" w:rsidRDefault="00052B23" w:rsidP="00052B23">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4D37F769" w14:textId="77777777" w:rsidR="00E37E1F" w:rsidRPr="00C45975" w:rsidRDefault="00E37E1F" w:rsidP="00052B23">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E37E1F" w:rsidRPr="00C45975" w14:paraId="6E4425FD" w14:textId="77777777" w:rsidTr="00005463">
        <w:tc>
          <w:tcPr>
            <w:tcW w:w="1656" w:type="dxa"/>
            <w:tcBorders>
              <w:top w:val="single" w:sz="4" w:space="0" w:color="auto"/>
              <w:left w:val="nil"/>
              <w:bottom w:val="nil"/>
              <w:right w:val="nil"/>
            </w:tcBorders>
          </w:tcPr>
          <w:p w14:paraId="2E49ED93"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652BF9F1"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63206EB6"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E37E1F" w:rsidRPr="00C45975" w14:paraId="4653D7AF" w14:textId="77777777" w:rsidTr="00005463">
        <w:tc>
          <w:tcPr>
            <w:tcW w:w="1656" w:type="dxa"/>
            <w:tcBorders>
              <w:top w:val="nil"/>
              <w:left w:val="nil"/>
              <w:bottom w:val="nil"/>
              <w:right w:val="nil"/>
            </w:tcBorders>
          </w:tcPr>
          <w:p w14:paraId="47724E00"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7272FD8"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c>
          <w:tcPr>
            <w:tcW w:w="2016" w:type="dxa"/>
            <w:tcBorders>
              <w:top w:val="nil"/>
              <w:left w:val="nil"/>
              <w:bottom w:val="nil"/>
              <w:right w:val="nil"/>
            </w:tcBorders>
          </w:tcPr>
          <w:p w14:paraId="05631CC8"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r>
      <w:tr w:rsidR="00E37E1F" w:rsidRPr="00C45975" w14:paraId="6438643D" w14:textId="77777777" w:rsidTr="00005463">
        <w:tc>
          <w:tcPr>
            <w:tcW w:w="1656" w:type="dxa"/>
            <w:tcBorders>
              <w:top w:val="single" w:sz="4" w:space="0" w:color="auto"/>
              <w:left w:val="nil"/>
              <w:bottom w:val="nil"/>
              <w:right w:val="nil"/>
            </w:tcBorders>
          </w:tcPr>
          <w:p w14:paraId="198622CD"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lvaw_gar</w:t>
            </w:r>
            <w:proofErr w:type="spellEnd"/>
          </w:p>
        </w:tc>
        <w:tc>
          <w:tcPr>
            <w:tcW w:w="2016" w:type="dxa"/>
            <w:tcBorders>
              <w:top w:val="single" w:sz="4" w:space="0" w:color="auto"/>
              <w:left w:val="nil"/>
              <w:bottom w:val="nil"/>
              <w:right w:val="nil"/>
            </w:tcBorders>
          </w:tcPr>
          <w:p w14:paraId="49F1DE3A"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0.474</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5EE7230C"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-0.0499</w:t>
            </w:r>
          </w:p>
        </w:tc>
      </w:tr>
      <w:tr w:rsidR="00E37E1F" w:rsidRPr="00C45975" w14:paraId="16C6FF06" w14:textId="77777777" w:rsidTr="00005463">
        <w:tc>
          <w:tcPr>
            <w:tcW w:w="1656" w:type="dxa"/>
            <w:tcBorders>
              <w:top w:val="nil"/>
              <w:left w:val="nil"/>
              <w:bottom w:val="nil"/>
              <w:right w:val="nil"/>
            </w:tcBorders>
          </w:tcPr>
          <w:p w14:paraId="626A730A"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8CC42A4"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(3.66)</w:t>
            </w:r>
          </w:p>
        </w:tc>
        <w:tc>
          <w:tcPr>
            <w:tcW w:w="2016" w:type="dxa"/>
            <w:tcBorders>
              <w:top w:val="nil"/>
              <w:left w:val="nil"/>
              <w:bottom w:val="nil"/>
              <w:right w:val="nil"/>
            </w:tcBorders>
          </w:tcPr>
          <w:p w14:paraId="3F2558A8"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(-0.36)</w:t>
            </w:r>
          </w:p>
        </w:tc>
      </w:tr>
      <w:tr w:rsidR="00E37E1F" w:rsidRPr="00C45975" w14:paraId="09FAAA5F" w14:textId="77777777" w:rsidTr="00005463">
        <w:tc>
          <w:tcPr>
            <w:tcW w:w="1656" w:type="dxa"/>
            <w:tcBorders>
              <w:top w:val="nil"/>
              <w:left w:val="nil"/>
              <w:bottom w:val="nil"/>
              <w:right w:val="nil"/>
            </w:tcBorders>
          </w:tcPr>
          <w:p w14:paraId="6B32426C"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22B20C0"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B940E70"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E37E1F" w:rsidRPr="00C45975" w14:paraId="326B534B" w14:textId="77777777" w:rsidTr="00005463">
        <w:tc>
          <w:tcPr>
            <w:tcW w:w="1656" w:type="dxa"/>
            <w:tcBorders>
              <w:top w:val="nil"/>
              <w:left w:val="nil"/>
              <w:bottom w:val="nil"/>
              <w:right w:val="nil"/>
            </w:tcBorders>
          </w:tcPr>
          <w:p w14:paraId="7066B428"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2F1A64D5"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0.222</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229B146D"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0.497</w:t>
            </w:r>
            <w:r w:rsidRPr="00C45975">
              <w:rPr>
                <w:rFonts w:ascii="Times New Roman" w:hAnsi="Times New Roman" w:cs="Times New Roman"/>
                <w:sz w:val="24"/>
                <w:szCs w:val="24"/>
                <w:highlight w:val="cyan"/>
                <w:vertAlign w:val="superscript"/>
              </w:rPr>
              <w:t>***</w:t>
            </w:r>
          </w:p>
        </w:tc>
      </w:tr>
      <w:tr w:rsidR="00E37E1F" w:rsidRPr="00C45975" w14:paraId="0FF6B3D7" w14:textId="77777777" w:rsidTr="00005463">
        <w:tc>
          <w:tcPr>
            <w:tcW w:w="1656" w:type="dxa"/>
            <w:tcBorders>
              <w:top w:val="nil"/>
              <w:left w:val="nil"/>
              <w:bottom w:val="single" w:sz="4" w:space="0" w:color="auto"/>
              <w:right w:val="nil"/>
            </w:tcBorders>
          </w:tcPr>
          <w:p w14:paraId="5A6738D7"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4FC6CB8"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(3.21)</w:t>
            </w:r>
          </w:p>
        </w:tc>
        <w:tc>
          <w:tcPr>
            <w:tcW w:w="2016" w:type="dxa"/>
            <w:tcBorders>
              <w:top w:val="nil"/>
              <w:left w:val="nil"/>
              <w:bottom w:val="single" w:sz="4" w:space="0" w:color="auto"/>
              <w:right w:val="nil"/>
            </w:tcBorders>
          </w:tcPr>
          <w:p w14:paraId="22E395CE"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(6.81)</w:t>
            </w:r>
          </w:p>
        </w:tc>
      </w:tr>
      <w:tr w:rsidR="00E37E1F" w:rsidRPr="00C45975" w14:paraId="2B47C698" w14:textId="77777777" w:rsidTr="00005463">
        <w:tc>
          <w:tcPr>
            <w:tcW w:w="1656" w:type="dxa"/>
            <w:tcBorders>
              <w:top w:val="nil"/>
              <w:left w:val="nil"/>
              <w:bottom w:val="single" w:sz="4" w:space="0" w:color="auto"/>
              <w:right w:val="nil"/>
            </w:tcBorders>
          </w:tcPr>
          <w:p w14:paraId="065DF4D5"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5D864BEB"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798</w:t>
            </w:r>
          </w:p>
        </w:tc>
        <w:tc>
          <w:tcPr>
            <w:tcW w:w="2016" w:type="dxa"/>
            <w:tcBorders>
              <w:top w:val="nil"/>
              <w:left w:val="nil"/>
              <w:bottom w:val="single" w:sz="4" w:space="0" w:color="auto"/>
              <w:right w:val="nil"/>
            </w:tcBorders>
          </w:tcPr>
          <w:p w14:paraId="041B6D96"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798</w:t>
            </w:r>
          </w:p>
        </w:tc>
      </w:tr>
    </w:tbl>
    <w:p w14:paraId="7B9A8A69" w14:textId="77777777" w:rsidR="00E37E1F" w:rsidRPr="00C45975" w:rsidRDefault="00E37E1F" w:rsidP="00E37E1F">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72BCCC23" w14:textId="77777777" w:rsidR="00E37E1F" w:rsidRPr="00C45975" w:rsidRDefault="00E37E1F" w:rsidP="00E37E1F">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4FF04D6E" w14:textId="77777777" w:rsidR="00E37E1F" w:rsidRPr="00C45975" w:rsidRDefault="00E37E1F" w:rsidP="00E37E1F">
      <w:pPr>
        <w:widowControl w:val="0"/>
        <w:autoSpaceDE w:val="0"/>
        <w:autoSpaceDN w:val="0"/>
        <w:adjustRightInd w:val="0"/>
        <w:spacing w:after="0" w:line="240" w:lineRule="auto"/>
        <w:rPr>
          <w:rFonts w:ascii="Times New Roman" w:hAnsi="Times New Roman" w:cs="Times New Roman"/>
          <w:sz w:val="24"/>
          <w:szCs w:val="24"/>
          <w:highlight w:val="cyan"/>
        </w:rPr>
      </w:pPr>
    </w:p>
    <w:tbl>
      <w:tblPr>
        <w:tblW w:w="0" w:type="auto"/>
        <w:tblLayout w:type="fixed"/>
        <w:tblLook w:val="0000" w:firstRow="0" w:lastRow="0" w:firstColumn="0" w:lastColumn="0" w:noHBand="0" w:noVBand="0"/>
      </w:tblPr>
      <w:tblGrid>
        <w:gridCol w:w="1656"/>
        <w:gridCol w:w="2016"/>
        <w:gridCol w:w="2016"/>
      </w:tblGrid>
      <w:tr w:rsidR="0088206D" w:rsidRPr="00C45975" w14:paraId="12178012" w14:textId="77777777" w:rsidTr="00005463">
        <w:tc>
          <w:tcPr>
            <w:tcW w:w="1656" w:type="dxa"/>
            <w:tcBorders>
              <w:top w:val="single" w:sz="4" w:space="0" w:color="auto"/>
              <w:left w:val="nil"/>
              <w:bottom w:val="nil"/>
              <w:right w:val="nil"/>
            </w:tcBorders>
          </w:tcPr>
          <w:p w14:paraId="7743B8D6"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7C16D7F5"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1367D9B4"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88206D" w:rsidRPr="00C45975" w14:paraId="36717616" w14:textId="77777777" w:rsidTr="00005463">
        <w:tc>
          <w:tcPr>
            <w:tcW w:w="1656" w:type="dxa"/>
            <w:tcBorders>
              <w:top w:val="nil"/>
              <w:left w:val="nil"/>
              <w:bottom w:val="nil"/>
              <w:right w:val="nil"/>
            </w:tcBorders>
          </w:tcPr>
          <w:p w14:paraId="2A98F66D"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9327CCD"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c>
          <w:tcPr>
            <w:tcW w:w="2016" w:type="dxa"/>
            <w:tcBorders>
              <w:top w:val="nil"/>
              <w:left w:val="nil"/>
              <w:bottom w:val="nil"/>
              <w:right w:val="nil"/>
            </w:tcBorders>
          </w:tcPr>
          <w:p w14:paraId="30EAB012"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r>
      <w:tr w:rsidR="0088206D" w:rsidRPr="00C45975" w14:paraId="63DF35E4" w14:textId="77777777" w:rsidTr="00005463">
        <w:tc>
          <w:tcPr>
            <w:tcW w:w="1656" w:type="dxa"/>
            <w:tcBorders>
              <w:top w:val="single" w:sz="4" w:space="0" w:color="auto"/>
              <w:left w:val="nil"/>
              <w:bottom w:val="nil"/>
              <w:right w:val="nil"/>
            </w:tcBorders>
          </w:tcPr>
          <w:p w14:paraId="39CBF1C6"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60071337"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0.000737</w:t>
            </w:r>
          </w:p>
        </w:tc>
        <w:tc>
          <w:tcPr>
            <w:tcW w:w="2016" w:type="dxa"/>
            <w:tcBorders>
              <w:top w:val="single" w:sz="4" w:space="0" w:color="auto"/>
              <w:left w:val="nil"/>
              <w:bottom w:val="nil"/>
              <w:right w:val="nil"/>
            </w:tcBorders>
          </w:tcPr>
          <w:p w14:paraId="0A792077"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0.00221</w:t>
            </w:r>
          </w:p>
        </w:tc>
      </w:tr>
      <w:tr w:rsidR="0088206D" w:rsidRPr="00C45975" w14:paraId="6A996E69" w14:textId="77777777" w:rsidTr="00005463">
        <w:tc>
          <w:tcPr>
            <w:tcW w:w="1656" w:type="dxa"/>
            <w:tcBorders>
              <w:top w:val="nil"/>
              <w:left w:val="nil"/>
              <w:bottom w:val="nil"/>
              <w:right w:val="nil"/>
            </w:tcBorders>
          </w:tcPr>
          <w:p w14:paraId="052362AB"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98CF0BF"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(0.12)</w:t>
            </w:r>
          </w:p>
        </w:tc>
        <w:tc>
          <w:tcPr>
            <w:tcW w:w="2016" w:type="dxa"/>
            <w:tcBorders>
              <w:top w:val="nil"/>
              <w:left w:val="nil"/>
              <w:bottom w:val="nil"/>
              <w:right w:val="nil"/>
            </w:tcBorders>
          </w:tcPr>
          <w:p w14:paraId="6EFC92D2"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w:t>
            </w:r>
          </w:p>
        </w:tc>
      </w:tr>
      <w:tr w:rsidR="0088206D" w:rsidRPr="00C45975" w14:paraId="5CD362E0" w14:textId="77777777" w:rsidTr="00005463">
        <w:tc>
          <w:tcPr>
            <w:tcW w:w="1656" w:type="dxa"/>
            <w:tcBorders>
              <w:top w:val="nil"/>
              <w:left w:val="nil"/>
              <w:bottom w:val="nil"/>
              <w:right w:val="nil"/>
            </w:tcBorders>
          </w:tcPr>
          <w:p w14:paraId="1B2D902F"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E010CFA"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95BAB9C"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88206D" w:rsidRPr="00C45975" w14:paraId="684D40D8" w14:textId="77777777" w:rsidTr="00005463">
        <w:tc>
          <w:tcPr>
            <w:tcW w:w="1656" w:type="dxa"/>
            <w:tcBorders>
              <w:top w:val="nil"/>
              <w:left w:val="nil"/>
              <w:bottom w:val="nil"/>
              <w:right w:val="nil"/>
            </w:tcBorders>
          </w:tcPr>
          <w:p w14:paraId="34851819"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lastRenderedPageBreak/>
              <w:t>_cons</w:t>
            </w:r>
          </w:p>
        </w:tc>
        <w:tc>
          <w:tcPr>
            <w:tcW w:w="2016" w:type="dxa"/>
            <w:tcBorders>
              <w:top w:val="nil"/>
              <w:left w:val="nil"/>
              <w:bottom w:val="nil"/>
              <w:right w:val="nil"/>
            </w:tcBorders>
          </w:tcPr>
          <w:p w14:paraId="70FA400F"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0.478</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B787C81"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0.468</w:t>
            </w:r>
            <w:r w:rsidRPr="00C45975">
              <w:rPr>
                <w:rFonts w:ascii="Times New Roman" w:hAnsi="Times New Roman" w:cs="Times New Roman"/>
                <w:sz w:val="24"/>
                <w:szCs w:val="24"/>
                <w:highlight w:val="cyan"/>
                <w:vertAlign w:val="superscript"/>
              </w:rPr>
              <w:t>***</w:t>
            </w:r>
          </w:p>
        </w:tc>
      </w:tr>
      <w:tr w:rsidR="0088206D" w:rsidRPr="00C45975" w14:paraId="0A0783C8" w14:textId="77777777" w:rsidTr="00005463">
        <w:tc>
          <w:tcPr>
            <w:tcW w:w="1656" w:type="dxa"/>
            <w:tcBorders>
              <w:top w:val="nil"/>
              <w:left w:val="nil"/>
              <w:bottom w:val="single" w:sz="4" w:space="0" w:color="auto"/>
              <w:right w:val="nil"/>
            </w:tcBorders>
          </w:tcPr>
          <w:p w14:paraId="76BD9274"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61A8733C"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(9.76)</w:t>
            </w:r>
          </w:p>
        </w:tc>
        <w:tc>
          <w:tcPr>
            <w:tcW w:w="2016" w:type="dxa"/>
            <w:tcBorders>
              <w:top w:val="nil"/>
              <w:left w:val="nil"/>
              <w:bottom w:val="single" w:sz="4" w:space="0" w:color="auto"/>
              <w:right w:val="nil"/>
            </w:tcBorders>
          </w:tcPr>
          <w:p w14:paraId="1659B1D2"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(11.23)</w:t>
            </w:r>
          </w:p>
        </w:tc>
      </w:tr>
      <w:tr w:rsidR="0088206D" w:rsidRPr="00C45975" w14:paraId="7AE06E07" w14:textId="77777777" w:rsidTr="00005463">
        <w:tc>
          <w:tcPr>
            <w:tcW w:w="1656" w:type="dxa"/>
            <w:tcBorders>
              <w:top w:val="nil"/>
              <w:left w:val="nil"/>
              <w:bottom w:val="single" w:sz="4" w:space="0" w:color="auto"/>
              <w:right w:val="nil"/>
            </w:tcBorders>
          </w:tcPr>
          <w:p w14:paraId="5D5755DD"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7A85E0B0"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1015</w:t>
            </w:r>
          </w:p>
        </w:tc>
        <w:tc>
          <w:tcPr>
            <w:tcW w:w="2016" w:type="dxa"/>
            <w:tcBorders>
              <w:top w:val="nil"/>
              <w:left w:val="nil"/>
              <w:bottom w:val="single" w:sz="4" w:space="0" w:color="auto"/>
              <w:right w:val="nil"/>
            </w:tcBorders>
          </w:tcPr>
          <w:p w14:paraId="7D09C53B"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1015</w:t>
            </w:r>
          </w:p>
        </w:tc>
      </w:tr>
    </w:tbl>
    <w:p w14:paraId="0EE9FDA7" w14:textId="77777777" w:rsidR="0088206D" w:rsidRPr="00C45975" w:rsidRDefault="0088206D" w:rsidP="0088206D">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41B4B3EE" w14:textId="4ADC3C62" w:rsidR="0088206D" w:rsidRPr="00C45975" w:rsidRDefault="0088206D" w:rsidP="0088206D">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7E054D15" w14:textId="77777777" w:rsidR="00BC3308" w:rsidRPr="00C45975" w:rsidRDefault="00BC3308" w:rsidP="0088206D">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BC3308" w:rsidRPr="00C45975" w14:paraId="513A031D" w14:textId="77777777" w:rsidTr="00005463">
        <w:tc>
          <w:tcPr>
            <w:tcW w:w="1656" w:type="dxa"/>
            <w:tcBorders>
              <w:top w:val="single" w:sz="4" w:space="0" w:color="auto"/>
              <w:left w:val="nil"/>
              <w:bottom w:val="nil"/>
              <w:right w:val="nil"/>
            </w:tcBorders>
          </w:tcPr>
          <w:p w14:paraId="09733F56"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255182C9"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31329DE"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BC3308" w:rsidRPr="00C45975" w14:paraId="0D143DE8" w14:textId="77777777" w:rsidTr="00005463">
        <w:tc>
          <w:tcPr>
            <w:tcW w:w="1656" w:type="dxa"/>
            <w:tcBorders>
              <w:top w:val="nil"/>
              <w:left w:val="nil"/>
              <w:bottom w:val="nil"/>
              <w:right w:val="nil"/>
            </w:tcBorders>
          </w:tcPr>
          <w:p w14:paraId="399644BB"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4D78190"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c>
          <w:tcPr>
            <w:tcW w:w="2016" w:type="dxa"/>
            <w:tcBorders>
              <w:top w:val="nil"/>
              <w:left w:val="nil"/>
              <w:bottom w:val="nil"/>
              <w:right w:val="nil"/>
            </w:tcBorders>
          </w:tcPr>
          <w:p w14:paraId="6A926407"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r>
      <w:tr w:rsidR="00BC3308" w:rsidRPr="00C45975" w14:paraId="561CF10C" w14:textId="77777777" w:rsidTr="00005463">
        <w:tc>
          <w:tcPr>
            <w:tcW w:w="1656" w:type="dxa"/>
            <w:tcBorders>
              <w:top w:val="single" w:sz="4" w:space="0" w:color="auto"/>
              <w:left w:val="nil"/>
              <w:bottom w:val="nil"/>
              <w:right w:val="nil"/>
            </w:tcBorders>
          </w:tcPr>
          <w:p w14:paraId="5C97AD32"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lvaw_gar</w:t>
            </w:r>
            <w:proofErr w:type="spellEnd"/>
          </w:p>
        </w:tc>
        <w:tc>
          <w:tcPr>
            <w:tcW w:w="2016" w:type="dxa"/>
            <w:tcBorders>
              <w:top w:val="single" w:sz="4" w:space="0" w:color="auto"/>
              <w:left w:val="nil"/>
              <w:bottom w:val="nil"/>
              <w:right w:val="nil"/>
            </w:tcBorders>
          </w:tcPr>
          <w:p w14:paraId="41DC2EAE"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0.473</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36F7A90C"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0.288</w:t>
            </w:r>
          </w:p>
        </w:tc>
      </w:tr>
      <w:tr w:rsidR="00BC3308" w:rsidRPr="00C45975" w14:paraId="5C265C8E" w14:textId="77777777" w:rsidTr="00005463">
        <w:tc>
          <w:tcPr>
            <w:tcW w:w="1656" w:type="dxa"/>
            <w:tcBorders>
              <w:top w:val="nil"/>
              <w:left w:val="nil"/>
              <w:bottom w:val="nil"/>
              <w:right w:val="nil"/>
            </w:tcBorders>
          </w:tcPr>
          <w:p w14:paraId="2F584256"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7F5A313"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(3.49)</w:t>
            </w:r>
          </w:p>
        </w:tc>
        <w:tc>
          <w:tcPr>
            <w:tcW w:w="2016" w:type="dxa"/>
            <w:tcBorders>
              <w:top w:val="nil"/>
              <w:left w:val="nil"/>
              <w:bottom w:val="nil"/>
              <w:right w:val="nil"/>
            </w:tcBorders>
          </w:tcPr>
          <w:p w14:paraId="557DF4D4"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(1.19)</w:t>
            </w:r>
          </w:p>
        </w:tc>
      </w:tr>
      <w:tr w:rsidR="00BC3308" w:rsidRPr="00C45975" w14:paraId="72D7900E" w14:textId="77777777" w:rsidTr="00005463">
        <w:tc>
          <w:tcPr>
            <w:tcW w:w="1656" w:type="dxa"/>
            <w:tcBorders>
              <w:top w:val="nil"/>
              <w:left w:val="nil"/>
              <w:bottom w:val="nil"/>
              <w:right w:val="nil"/>
            </w:tcBorders>
          </w:tcPr>
          <w:p w14:paraId="46B990DF"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7F79A52"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0E8176D"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BC3308" w:rsidRPr="00C45975" w14:paraId="0064E6B4" w14:textId="77777777" w:rsidTr="00005463">
        <w:tc>
          <w:tcPr>
            <w:tcW w:w="1656" w:type="dxa"/>
            <w:tcBorders>
              <w:top w:val="nil"/>
              <w:left w:val="nil"/>
              <w:bottom w:val="nil"/>
              <w:right w:val="nil"/>
            </w:tcBorders>
          </w:tcPr>
          <w:p w14:paraId="52BE52A9"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A75F4AF"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0.527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A38CEDE"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0.622</w:t>
            </w:r>
            <w:r w:rsidRPr="00C45975">
              <w:rPr>
                <w:rFonts w:ascii="Times New Roman" w:hAnsi="Times New Roman" w:cs="Times New Roman"/>
                <w:sz w:val="24"/>
                <w:szCs w:val="24"/>
                <w:highlight w:val="cyan"/>
                <w:vertAlign w:val="superscript"/>
              </w:rPr>
              <w:t>***</w:t>
            </w:r>
          </w:p>
        </w:tc>
      </w:tr>
      <w:tr w:rsidR="00BC3308" w:rsidRPr="00C45975" w14:paraId="55CB4F06" w14:textId="77777777" w:rsidTr="00005463">
        <w:tc>
          <w:tcPr>
            <w:tcW w:w="1656" w:type="dxa"/>
            <w:tcBorders>
              <w:top w:val="nil"/>
              <w:left w:val="nil"/>
              <w:bottom w:val="single" w:sz="4" w:space="0" w:color="auto"/>
              <w:right w:val="nil"/>
            </w:tcBorders>
          </w:tcPr>
          <w:p w14:paraId="39F348E1"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53FB023"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(6.76)</w:t>
            </w:r>
          </w:p>
        </w:tc>
        <w:tc>
          <w:tcPr>
            <w:tcW w:w="2016" w:type="dxa"/>
            <w:tcBorders>
              <w:top w:val="nil"/>
              <w:left w:val="nil"/>
              <w:bottom w:val="single" w:sz="4" w:space="0" w:color="auto"/>
              <w:right w:val="nil"/>
            </w:tcBorders>
          </w:tcPr>
          <w:p w14:paraId="3755131F"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(4.96)</w:t>
            </w:r>
          </w:p>
        </w:tc>
      </w:tr>
      <w:tr w:rsidR="00BC3308" w:rsidRPr="00C45975" w14:paraId="4836E225" w14:textId="77777777" w:rsidTr="00005463">
        <w:tc>
          <w:tcPr>
            <w:tcW w:w="1656" w:type="dxa"/>
            <w:tcBorders>
              <w:top w:val="nil"/>
              <w:left w:val="nil"/>
              <w:bottom w:val="single" w:sz="4" w:space="0" w:color="auto"/>
              <w:right w:val="nil"/>
            </w:tcBorders>
          </w:tcPr>
          <w:p w14:paraId="73A36CF2"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5F9782F6"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667</w:t>
            </w:r>
          </w:p>
        </w:tc>
        <w:tc>
          <w:tcPr>
            <w:tcW w:w="2016" w:type="dxa"/>
            <w:tcBorders>
              <w:top w:val="nil"/>
              <w:left w:val="nil"/>
              <w:bottom w:val="single" w:sz="4" w:space="0" w:color="auto"/>
              <w:right w:val="nil"/>
            </w:tcBorders>
          </w:tcPr>
          <w:p w14:paraId="52880BBB"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667</w:t>
            </w:r>
          </w:p>
        </w:tc>
      </w:tr>
    </w:tbl>
    <w:p w14:paraId="7C8E7DC7" w14:textId="77777777" w:rsidR="00BC3308" w:rsidRPr="00C45975" w:rsidRDefault="00BC3308" w:rsidP="00BC3308">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017C416B" w14:textId="656DC9ED" w:rsidR="00BC3308" w:rsidRPr="00C45975" w:rsidRDefault="00BC3308" w:rsidP="00BC3308">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3FE88867" w14:textId="77777777" w:rsidR="00BC30A4" w:rsidRPr="00C45975" w:rsidRDefault="00BC30A4" w:rsidP="00BC3308">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BC30A4" w:rsidRPr="00C45975" w14:paraId="29AB7D88" w14:textId="77777777" w:rsidTr="00005463">
        <w:tc>
          <w:tcPr>
            <w:tcW w:w="1656" w:type="dxa"/>
            <w:tcBorders>
              <w:top w:val="single" w:sz="4" w:space="0" w:color="auto"/>
              <w:left w:val="nil"/>
              <w:bottom w:val="nil"/>
              <w:right w:val="nil"/>
            </w:tcBorders>
          </w:tcPr>
          <w:p w14:paraId="06B92544"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07D76751"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6DA33815"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BC30A4" w:rsidRPr="00C45975" w14:paraId="2ADFAF65" w14:textId="77777777" w:rsidTr="00005463">
        <w:tc>
          <w:tcPr>
            <w:tcW w:w="1656" w:type="dxa"/>
            <w:tcBorders>
              <w:top w:val="nil"/>
              <w:left w:val="nil"/>
              <w:bottom w:val="nil"/>
              <w:right w:val="nil"/>
            </w:tcBorders>
          </w:tcPr>
          <w:p w14:paraId="32FBA6A5"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B34D26B"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c>
          <w:tcPr>
            <w:tcW w:w="2016" w:type="dxa"/>
            <w:tcBorders>
              <w:top w:val="nil"/>
              <w:left w:val="nil"/>
              <w:bottom w:val="nil"/>
              <w:right w:val="nil"/>
            </w:tcBorders>
          </w:tcPr>
          <w:p w14:paraId="347941D7"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r>
      <w:tr w:rsidR="00BC30A4" w:rsidRPr="00C45975" w14:paraId="4F5A8CA2" w14:textId="77777777" w:rsidTr="00005463">
        <w:tc>
          <w:tcPr>
            <w:tcW w:w="1656" w:type="dxa"/>
            <w:tcBorders>
              <w:top w:val="single" w:sz="4" w:space="0" w:color="auto"/>
              <w:left w:val="nil"/>
              <w:bottom w:val="nil"/>
              <w:right w:val="nil"/>
            </w:tcBorders>
          </w:tcPr>
          <w:p w14:paraId="62588ACF"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79D20E39"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-0.0210</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0A78978C"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-0.0194</w:t>
            </w:r>
          </w:p>
        </w:tc>
      </w:tr>
      <w:tr w:rsidR="00BC30A4" w:rsidRPr="00C45975" w14:paraId="5FE50C25" w14:textId="77777777" w:rsidTr="00005463">
        <w:tc>
          <w:tcPr>
            <w:tcW w:w="1656" w:type="dxa"/>
            <w:tcBorders>
              <w:top w:val="nil"/>
              <w:left w:val="nil"/>
              <w:bottom w:val="nil"/>
              <w:right w:val="nil"/>
            </w:tcBorders>
          </w:tcPr>
          <w:p w14:paraId="5FD1F439"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4931297"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(-3.13)</w:t>
            </w:r>
          </w:p>
        </w:tc>
        <w:tc>
          <w:tcPr>
            <w:tcW w:w="2016" w:type="dxa"/>
            <w:tcBorders>
              <w:top w:val="nil"/>
              <w:left w:val="nil"/>
              <w:bottom w:val="nil"/>
              <w:right w:val="nil"/>
            </w:tcBorders>
          </w:tcPr>
          <w:p w14:paraId="693CE333"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(-1.95)</w:t>
            </w:r>
          </w:p>
        </w:tc>
      </w:tr>
      <w:tr w:rsidR="00BC30A4" w:rsidRPr="00C45975" w14:paraId="12BC127D" w14:textId="77777777" w:rsidTr="00005463">
        <w:tc>
          <w:tcPr>
            <w:tcW w:w="1656" w:type="dxa"/>
            <w:tcBorders>
              <w:top w:val="nil"/>
              <w:left w:val="nil"/>
              <w:bottom w:val="nil"/>
              <w:right w:val="nil"/>
            </w:tcBorders>
          </w:tcPr>
          <w:p w14:paraId="710FC181"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47F5872"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470B427"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BC30A4" w:rsidRPr="00C45975" w14:paraId="527589FD" w14:textId="77777777" w:rsidTr="00005463">
        <w:tc>
          <w:tcPr>
            <w:tcW w:w="1656" w:type="dxa"/>
            <w:tcBorders>
              <w:top w:val="nil"/>
              <w:left w:val="nil"/>
              <w:bottom w:val="nil"/>
              <w:right w:val="nil"/>
            </w:tcBorders>
          </w:tcPr>
          <w:p w14:paraId="541E027A"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1E51DD96"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0.973</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5AE801C"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0.962</w:t>
            </w:r>
            <w:r w:rsidRPr="00C45975">
              <w:rPr>
                <w:rFonts w:ascii="Times New Roman" w:hAnsi="Times New Roman" w:cs="Times New Roman"/>
                <w:sz w:val="24"/>
                <w:szCs w:val="24"/>
                <w:highlight w:val="cyan"/>
                <w:vertAlign w:val="superscript"/>
              </w:rPr>
              <w:t>***</w:t>
            </w:r>
          </w:p>
        </w:tc>
      </w:tr>
      <w:tr w:rsidR="00BC30A4" w:rsidRPr="00C45975" w14:paraId="548A3230" w14:textId="77777777" w:rsidTr="00005463">
        <w:tc>
          <w:tcPr>
            <w:tcW w:w="1656" w:type="dxa"/>
            <w:tcBorders>
              <w:top w:val="nil"/>
              <w:left w:val="nil"/>
              <w:bottom w:val="single" w:sz="4" w:space="0" w:color="auto"/>
              <w:right w:val="nil"/>
            </w:tcBorders>
          </w:tcPr>
          <w:p w14:paraId="023B8442"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04D872F"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(17.73)</w:t>
            </w:r>
          </w:p>
        </w:tc>
        <w:tc>
          <w:tcPr>
            <w:tcW w:w="2016" w:type="dxa"/>
            <w:tcBorders>
              <w:top w:val="nil"/>
              <w:left w:val="nil"/>
              <w:bottom w:val="single" w:sz="4" w:space="0" w:color="auto"/>
              <w:right w:val="nil"/>
            </w:tcBorders>
          </w:tcPr>
          <w:p w14:paraId="7947DA2F"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(13.97)</w:t>
            </w:r>
          </w:p>
        </w:tc>
      </w:tr>
      <w:tr w:rsidR="00BC30A4" w:rsidRPr="00C45975" w14:paraId="6687B441" w14:textId="77777777" w:rsidTr="00005463">
        <w:tc>
          <w:tcPr>
            <w:tcW w:w="1656" w:type="dxa"/>
            <w:tcBorders>
              <w:top w:val="nil"/>
              <w:left w:val="nil"/>
              <w:bottom w:val="single" w:sz="4" w:space="0" w:color="auto"/>
              <w:right w:val="nil"/>
            </w:tcBorders>
          </w:tcPr>
          <w:p w14:paraId="54B431AE"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FE2BCAD"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834</w:t>
            </w:r>
          </w:p>
        </w:tc>
        <w:tc>
          <w:tcPr>
            <w:tcW w:w="2016" w:type="dxa"/>
            <w:tcBorders>
              <w:top w:val="nil"/>
              <w:left w:val="nil"/>
              <w:bottom w:val="single" w:sz="4" w:space="0" w:color="auto"/>
              <w:right w:val="nil"/>
            </w:tcBorders>
          </w:tcPr>
          <w:p w14:paraId="586CF1DE"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834</w:t>
            </w:r>
          </w:p>
        </w:tc>
      </w:tr>
    </w:tbl>
    <w:p w14:paraId="7F1AFCF3" w14:textId="77777777" w:rsidR="00BC30A4" w:rsidRPr="00C45975" w:rsidRDefault="00BC30A4" w:rsidP="00BC30A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4966E03A" w14:textId="77777777" w:rsidR="00BC30A4" w:rsidRPr="00C45975" w:rsidRDefault="00BC30A4" w:rsidP="00BC30A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0AB4E4EB" w14:textId="77777777" w:rsidR="00BC30A4" w:rsidRPr="00C45975" w:rsidRDefault="00BC30A4" w:rsidP="00BC30A4">
      <w:pPr>
        <w:widowControl w:val="0"/>
        <w:autoSpaceDE w:val="0"/>
        <w:autoSpaceDN w:val="0"/>
        <w:adjustRightInd w:val="0"/>
        <w:spacing w:after="0" w:line="240" w:lineRule="auto"/>
        <w:rPr>
          <w:rFonts w:ascii="Times New Roman" w:hAnsi="Times New Roman" w:cs="Times New Roman"/>
          <w:sz w:val="24"/>
          <w:szCs w:val="24"/>
          <w:highlight w:val="cyan"/>
        </w:rPr>
      </w:pPr>
    </w:p>
    <w:p w14:paraId="41F47C35" w14:textId="7ECD0372" w:rsidR="00187B89" w:rsidRPr="00C45975" w:rsidRDefault="000E646F" w:rsidP="00BF3A2C">
      <w:pPr>
        <w:rPr>
          <w:highlight w:val="cyan"/>
        </w:rPr>
      </w:pPr>
      <w:r w:rsidRPr="00C45975">
        <w:rPr>
          <w:highlight w:val="cyan"/>
        </w:rPr>
        <w:t xml:space="preserve">In a very small sample with low </w:t>
      </w:r>
      <w:r w:rsidR="002C7633" w:rsidRPr="00C45975">
        <w:rPr>
          <w:highlight w:val="cyan"/>
        </w:rPr>
        <w:t>constraints</w:t>
      </w:r>
      <w:r w:rsidRPr="00C45975">
        <w:rPr>
          <w:highlight w:val="cyan"/>
        </w:rPr>
        <w:t xml:space="preserve"> and high competitiveness, all variables were again insignificant.</w:t>
      </w:r>
      <w:r w:rsidR="000E39E6" w:rsidRPr="00C45975">
        <w:rPr>
          <w:highlight w:val="cyan"/>
        </w:rPr>
        <w:t xml:space="preserve"> De facto independence was not clearly connected to higher or lower electoral turnover.</w:t>
      </w:r>
    </w:p>
    <w:tbl>
      <w:tblPr>
        <w:tblW w:w="0" w:type="auto"/>
        <w:tblLayout w:type="fixed"/>
        <w:tblLook w:val="0000" w:firstRow="0" w:lastRow="0" w:firstColumn="0" w:lastColumn="0" w:noHBand="0" w:noVBand="0"/>
      </w:tblPr>
      <w:tblGrid>
        <w:gridCol w:w="1656"/>
        <w:gridCol w:w="2016"/>
        <w:gridCol w:w="2016"/>
      </w:tblGrid>
      <w:tr w:rsidR="000E646F" w:rsidRPr="00C45975" w14:paraId="0FBBCD1E" w14:textId="77777777" w:rsidTr="00005463">
        <w:tc>
          <w:tcPr>
            <w:tcW w:w="1656" w:type="dxa"/>
            <w:tcBorders>
              <w:top w:val="single" w:sz="4" w:space="0" w:color="auto"/>
              <w:left w:val="nil"/>
              <w:bottom w:val="nil"/>
              <w:right w:val="nil"/>
            </w:tcBorders>
          </w:tcPr>
          <w:p w14:paraId="019D1CF2"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036C31A1"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68B8AC6D"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E646F" w:rsidRPr="00C45975" w14:paraId="1C8D4941" w14:textId="77777777" w:rsidTr="00005463">
        <w:tc>
          <w:tcPr>
            <w:tcW w:w="1656" w:type="dxa"/>
            <w:tcBorders>
              <w:top w:val="nil"/>
              <w:left w:val="nil"/>
              <w:bottom w:val="nil"/>
              <w:right w:val="nil"/>
            </w:tcBorders>
          </w:tcPr>
          <w:p w14:paraId="32B8A143"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00F4501"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c>
          <w:tcPr>
            <w:tcW w:w="2016" w:type="dxa"/>
            <w:tcBorders>
              <w:top w:val="nil"/>
              <w:left w:val="nil"/>
              <w:bottom w:val="nil"/>
              <w:right w:val="nil"/>
            </w:tcBorders>
          </w:tcPr>
          <w:p w14:paraId="14D72403"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r>
      <w:tr w:rsidR="000E646F" w:rsidRPr="00C45975" w14:paraId="07F93A59" w14:textId="77777777" w:rsidTr="00005463">
        <w:tc>
          <w:tcPr>
            <w:tcW w:w="1656" w:type="dxa"/>
            <w:tcBorders>
              <w:top w:val="single" w:sz="4" w:space="0" w:color="auto"/>
              <w:left w:val="nil"/>
              <w:bottom w:val="nil"/>
              <w:right w:val="nil"/>
            </w:tcBorders>
          </w:tcPr>
          <w:p w14:paraId="734004FF"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irregtd</w:t>
            </w:r>
            <w:proofErr w:type="spellEnd"/>
          </w:p>
        </w:tc>
        <w:tc>
          <w:tcPr>
            <w:tcW w:w="2016" w:type="dxa"/>
            <w:tcBorders>
              <w:top w:val="single" w:sz="4" w:space="0" w:color="auto"/>
              <w:left w:val="nil"/>
              <w:bottom w:val="nil"/>
              <w:right w:val="nil"/>
            </w:tcBorders>
          </w:tcPr>
          <w:p w14:paraId="7A0CA84A"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-0.0667</w:t>
            </w:r>
          </w:p>
        </w:tc>
        <w:tc>
          <w:tcPr>
            <w:tcW w:w="2016" w:type="dxa"/>
            <w:tcBorders>
              <w:top w:val="single" w:sz="4" w:space="0" w:color="auto"/>
              <w:left w:val="nil"/>
              <w:bottom w:val="nil"/>
              <w:right w:val="nil"/>
            </w:tcBorders>
          </w:tcPr>
          <w:p w14:paraId="52A11040"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-0.0350</w:t>
            </w:r>
          </w:p>
        </w:tc>
      </w:tr>
      <w:tr w:rsidR="000E646F" w:rsidRPr="00C45975" w14:paraId="6DD9DC22" w14:textId="77777777" w:rsidTr="00005463">
        <w:tc>
          <w:tcPr>
            <w:tcW w:w="1656" w:type="dxa"/>
            <w:tcBorders>
              <w:top w:val="nil"/>
              <w:left w:val="nil"/>
              <w:bottom w:val="nil"/>
              <w:right w:val="nil"/>
            </w:tcBorders>
          </w:tcPr>
          <w:p w14:paraId="7F402CAA"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BFE68C5"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(-0.37)</w:t>
            </w:r>
          </w:p>
        </w:tc>
        <w:tc>
          <w:tcPr>
            <w:tcW w:w="2016" w:type="dxa"/>
            <w:tcBorders>
              <w:top w:val="nil"/>
              <w:left w:val="nil"/>
              <w:bottom w:val="nil"/>
              <w:right w:val="nil"/>
            </w:tcBorders>
          </w:tcPr>
          <w:p w14:paraId="4A0646E0"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(-0.16)</w:t>
            </w:r>
          </w:p>
        </w:tc>
      </w:tr>
      <w:tr w:rsidR="000E646F" w:rsidRPr="00C45975" w14:paraId="50BAFEE2" w14:textId="77777777" w:rsidTr="00005463">
        <w:tc>
          <w:tcPr>
            <w:tcW w:w="1656" w:type="dxa"/>
            <w:tcBorders>
              <w:top w:val="nil"/>
              <w:left w:val="nil"/>
              <w:bottom w:val="nil"/>
              <w:right w:val="nil"/>
            </w:tcBorders>
          </w:tcPr>
          <w:p w14:paraId="59DEFF9B"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B00D5DE"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A198974"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E646F" w:rsidRPr="00C45975" w14:paraId="31AD8A49" w14:textId="77777777" w:rsidTr="00005463">
        <w:tc>
          <w:tcPr>
            <w:tcW w:w="1656" w:type="dxa"/>
            <w:tcBorders>
              <w:top w:val="nil"/>
              <w:left w:val="nil"/>
              <w:bottom w:val="nil"/>
              <w:right w:val="nil"/>
            </w:tcBorders>
          </w:tcPr>
          <w:p w14:paraId="30D0F27A"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5AF30C02"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0.233</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392092D3"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0.228</w:t>
            </w:r>
            <w:r w:rsidRPr="00C45975">
              <w:rPr>
                <w:rFonts w:ascii="Times New Roman" w:hAnsi="Times New Roman" w:cs="Times New Roman"/>
                <w:sz w:val="24"/>
                <w:szCs w:val="24"/>
                <w:highlight w:val="cyan"/>
                <w:vertAlign w:val="superscript"/>
              </w:rPr>
              <w:t>***</w:t>
            </w:r>
          </w:p>
        </w:tc>
      </w:tr>
      <w:tr w:rsidR="000E646F" w:rsidRPr="00C45975" w14:paraId="0E9407F2" w14:textId="77777777" w:rsidTr="00005463">
        <w:tc>
          <w:tcPr>
            <w:tcW w:w="1656" w:type="dxa"/>
            <w:tcBorders>
              <w:top w:val="nil"/>
              <w:left w:val="nil"/>
              <w:bottom w:val="single" w:sz="4" w:space="0" w:color="auto"/>
              <w:right w:val="nil"/>
            </w:tcBorders>
          </w:tcPr>
          <w:p w14:paraId="699EDFFE"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0F040C70"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(2.51)</w:t>
            </w:r>
          </w:p>
        </w:tc>
        <w:tc>
          <w:tcPr>
            <w:tcW w:w="2016" w:type="dxa"/>
            <w:tcBorders>
              <w:top w:val="nil"/>
              <w:left w:val="nil"/>
              <w:bottom w:val="single" w:sz="4" w:space="0" w:color="auto"/>
              <w:right w:val="nil"/>
            </w:tcBorders>
          </w:tcPr>
          <w:p w14:paraId="295DCD27"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(6.45)</w:t>
            </w:r>
          </w:p>
        </w:tc>
      </w:tr>
      <w:tr w:rsidR="000E646F" w:rsidRPr="00C45975" w14:paraId="17CF80A5" w14:textId="77777777" w:rsidTr="00005463">
        <w:tc>
          <w:tcPr>
            <w:tcW w:w="1656" w:type="dxa"/>
            <w:tcBorders>
              <w:top w:val="nil"/>
              <w:left w:val="nil"/>
              <w:bottom w:val="single" w:sz="4" w:space="0" w:color="auto"/>
              <w:right w:val="nil"/>
            </w:tcBorders>
          </w:tcPr>
          <w:p w14:paraId="600179EC"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33AF369D"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w:t>
            </w:r>
          </w:p>
        </w:tc>
        <w:tc>
          <w:tcPr>
            <w:tcW w:w="2016" w:type="dxa"/>
            <w:tcBorders>
              <w:top w:val="nil"/>
              <w:left w:val="nil"/>
              <w:bottom w:val="single" w:sz="4" w:space="0" w:color="auto"/>
              <w:right w:val="nil"/>
            </w:tcBorders>
          </w:tcPr>
          <w:p w14:paraId="63CF03BE"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w:t>
            </w:r>
          </w:p>
        </w:tc>
      </w:tr>
    </w:tbl>
    <w:p w14:paraId="0E86EDA5" w14:textId="77777777" w:rsidR="000E646F" w:rsidRPr="00C45975" w:rsidRDefault="000E646F" w:rsidP="000E646F">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69579327" w14:textId="77777777" w:rsidR="000E646F" w:rsidRPr="00C45975" w:rsidRDefault="000E646F" w:rsidP="000E646F">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78432E" w:rsidRPr="00C45975" w14:paraId="0989D6D3" w14:textId="77777777" w:rsidTr="00005463">
        <w:tc>
          <w:tcPr>
            <w:tcW w:w="1656" w:type="dxa"/>
            <w:tcBorders>
              <w:top w:val="single" w:sz="4" w:space="0" w:color="auto"/>
              <w:left w:val="nil"/>
              <w:bottom w:val="nil"/>
              <w:right w:val="nil"/>
            </w:tcBorders>
          </w:tcPr>
          <w:p w14:paraId="25E9E300"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18B64886"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24090822"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78432E" w:rsidRPr="00C45975" w14:paraId="2D034C2C" w14:textId="77777777" w:rsidTr="00005463">
        <w:tc>
          <w:tcPr>
            <w:tcW w:w="1656" w:type="dxa"/>
            <w:tcBorders>
              <w:top w:val="nil"/>
              <w:left w:val="nil"/>
              <w:bottom w:val="nil"/>
              <w:right w:val="nil"/>
            </w:tcBorders>
          </w:tcPr>
          <w:p w14:paraId="0803014C"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6556D43"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c>
          <w:tcPr>
            <w:tcW w:w="2016" w:type="dxa"/>
            <w:tcBorders>
              <w:top w:val="nil"/>
              <w:left w:val="nil"/>
              <w:bottom w:val="nil"/>
              <w:right w:val="nil"/>
            </w:tcBorders>
          </w:tcPr>
          <w:p w14:paraId="464DAD6F"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r>
      <w:tr w:rsidR="0078432E" w:rsidRPr="00C45975" w14:paraId="462EA794" w14:textId="77777777" w:rsidTr="00005463">
        <w:tc>
          <w:tcPr>
            <w:tcW w:w="1656" w:type="dxa"/>
            <w:tcBorders>
              <w:top w:val="single" w:sz="4" w:space="0" w:color="auto"/>
              <w:left w:val="nil"/>
              <w:bottom w:val="nil"/>
              <w:right w:val="nil"/>
            </w:tcBorders>
          </w:tcPr>
          <w:p w14:paraId="728E0D72"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4EA6C9F8"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0.0109</w:t>
            </w:r>
          </w:p>
        </w:tc>
        <w:tc>
          <w:tcPr>
            <w:tcW w:w="2016" w:type="dxa"/>
            <w:tcBorders>
              <w:top w:val="single" w:sz="4" w:space="0" w:color="auto"/>
              <w:left w:val="nil"/>
              <w:bottom w:val="nil"/>
              <w:right w:val="nil"/>
            </w:tcBorders>
          </w:tcPr>
          <w:p w14:paraId="6F9F1D29"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0.0432</w:t>
            </w:r>
          </w:p>
        </w:tc>
      </w:tr>
      <w:tr w:rsidR="0078432E" w:rsidRPr="00C45975" w14:paraId="1B734F02" w14:textId="77777777" w:rsidTr="00005463">
        <w:tc>
          <w:tcPr>
            <w:tcW w:w="1656" w:type="dxa"/>
            <w:tcBorders>
              <w:top w:val="nil"/>
              <w:left w:val="nil"/>
              <w:bottom w:val="nil"/>
              <w:right w:val="nil"/>
            </w:tcBorders>
          </w:tcPr>
          <w:p w14:paraId="06DFB202"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EBCB704"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(0.63)</w:t>
            </w:r>
          </w:p>
        </w:tc>
        <w:tc>
          <w:tcPr>
            <w:tcW w:w="2016" w:type="dxa"/>
            <w:tcBorders>
              <w:top w:val="nil"/>
              <w:left w:val="nil"/>
              <w:bottom w:val="nil"/>
              <w:right w:val="nil"/>
            </w:tcBorders>
          </w:tcPr>
          <w:p w14:paraId="38C5E873"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(1.14)</w:t>
            </w:r>
          </w:p>
        </w:tc>
      </w:tr>
      <w:tr w:rsidR="0078432E" w:rsidRPr="00C45975" w14:paraId="3A6A41D0" w14:textId="77777777" w:rsidTr="00005463">
        <w:tc>
          <w:tcPr>
            <w:tcW w:w="1656" w:type="dxa"/>
            <w:tcBorders>
              <w:top w:val="nil"/>
              <w:left w:val="nil"/>
              <w:bottom w:val="nil"/>
              <w:right w:val="nil"/>
            </w:tcBorders>
          </w:tcPr>
          <w:p w14:paraId="31AAC14A"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EC60B3F"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EAA6826"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78432E" w:rsidRPr="00C45975" w14:paraId="2E61C196" w14:textId="77777777" w:rsidTr="00005463">
        <w:tc>
          <w:tcPr>
            <w:tcW w:w="1656" w:type="dxa"/>
            <w:tcBorders>
              <w:top w:val="nil"/>
              <w:left w:val="nil"/>
              <w:bottom w:val="nil"/>
              <w:right w:val="nil"/>
            </w:tcBorders>
          </w:tcPr>
          <w:p w14:paraId="196B9165"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4EB59872"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0.138</w:t>
            </w:r>
          </w:p>
        </w:tc>
        <w:tc>
          <w:tcPr>
            <w:tcW w:w="2016" w:type="dxa"/>
            <w:tcBorders>
              <w:top w:val="nil"/>
              <w:left w:val="nil"/>
              <w:bottom w:val="nil"/>
              <w:right w:val="nil"/>
            </w:tcBorders>
          </w:tcPr>
          <w:p w14:paraId="27A63591"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-0.0859</w:t>
            </w:r>
          </w:p>
        </w:tc>
      </w:tr>
      <w:tr w:rsidR="0078432E" w:rsidRPr="00C45975" w14:paraId="4A7ED32E" w14:textId="77777777" w:rsidTr="00005463">
        <w:tc>
          <w:tcPr>
            <w:tcW w:w="1656" w:type="dxa"/>
            <w:tcBorders>
              <w:top w:val="nil"/>
              <w:left w:val="nil"/>
              <w:bottom w:val="single" w:sz="4" w:space="0" w:color="auto"/>
              <w:right w:val="nil"/>
            </w:tcBorders>
          </w:tcPr>
          <w:p w14:paraId="774C5D06"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7999E99"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(1.07)</w:t>
            </w:r>
          </w:p>
        </w:tc>
        <w:tc>
          <w:tcPr>
            <w:tcW w:w="2016" w:type="dxa"/>
            <w:tcBorders>
              <w:top w:val="nil"/>
              <w:left w:val="nil"/>
              <w:bottom w:val="single" w:sz="4" w:space="0" w:color="auto"/>
              <w:right w:val="nil"/>
            </w:tcBorders>
          </w:tcPr>
          <w:p w14:paraId="6B663151"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(-0.33)</w:t>
            </w:r>
          </w:p>
        </w:tc>
      </w:tr>
      <w:tr w:rsidR="0078432E" w:rsidRPr="00C45975" w14:paraId="5B1B4958" w14:textId="77777777" w:rsidTr="00005463">
        <w:tc>
          <w:tcPr>
            <w:tcW w:w="1656" w:type="dxa"/>
            <w:tcBorders>
              <w:top w:val="nil"/>
              <w:left w:val="nil"/>
              <w:bottom w:val="single" w:sz="4" w:space="0" w:color="auto"/>
              <w:right w:val="nil"/>
            </w:tcBorders>
          </w:tcPr>
          <w:p w14:paraId="7E787522"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lastRenderedPageBreak/>
              <w:t>N</w:t>
            </w:r>
          </w:p>
        </w:tc>
        <w:tc>
          <w:tcPr>
            <w:tcW w:w="2016" w:type="dxa"/>
            <w:tcBorders>
              <w:top w:val="nil"/>
              <w:left w:val="nil"/>
              <w:bottom w:val="single" w:sz="4" w:space="0" w:color="auto"/>
              <w:right w:val="nil"/>
            </w:tcBorders>
          </w:tcPr>
          <w:p w14:paraId="6E3288FE"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42</w:t>
            </w:r>
          </w:p>
        </w:tc>
        <w:tc>
          <w:tcPr>
            <w:tcW w:w="2016" w:type="dxa"/>
            <w:tcBorders>
              <w:top w:val="nil"/>
              <w:left w:val="nil"/>
              <w:bottom w:val="single" w:sz="4" w:space="0" w:color="auto"/>
              <w:right w:val="nil"/>
            </w:tcBorders>
          </w:tcPr>
          <w:p w14:paraId="23BE6AFE"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42</w:t>
            </w:r>
          </w:p>
        </w:tc>
      </w:tr>
    </w:tbl>
    <w:p w14:paraId="40D9A237" w14:textId="77777777" w:rsidR="0078432E" w:rsidRPr="00C45975" w:rsidRDefault="0078432E" w:rsidP="0078432E">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7830EB5F" w14:textId="0D5AF3F1" w:rsidR="0078432E" w:rsidRPr="00C45975" w:rsidRDefault="0078432E" w:rsidP="0078432E">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754D164D" w14:textId="77777777" w:rsidR="00DE068D" w:rsidRPr="00C45975" w:rsidRDefault="00DE068D" w:rsidP="0078432E">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DE068D" w:rsidRPr="00C45975" w14:paraId="6FAAF801" w14:textId="77777777" w:rsidTr="00005463">
        <w:tc>
          <w:tcPr>
            <w:tcW w:w="1656" w:type="dxa"/>
            <w:tcBorders>
              <w:top w:val="single" w:sz="4" w:space="0" w:color="auto"/>
              <w:left w:val="nil"/>
              <w:bottom w:val="nil"/>
              <w:right w:val="nil"/>
            </w:tcBorders>
          </w:tcPr>
          <w:p w14:paraId="525EB994"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170232B8"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A60690D"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DE068D" w:rsidRPr="00C45975" w14:paraId="461CCEFE" w14:textId="77777777" w:rsidTr="00005463">
        <w:tc>
          <w:tcPr>
            <w:tcW w:w="1656" w:type="dxa"/>
            <w:tcBorders>
              <w:top w:val="nil"/>
              <w:left w:val="nil"/>
              <w:bottom w:val="nil"/>
              <w:right w:val="nil"/>
            </w:tcBorders>
          </w:tcPr>
          <w:p w14:paraId="0CF927DE"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D7B1988"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c>
          <w:tcPr>
            <w:tcW w:w="2016" w:type="dxa"/>
            <w:tcBorders>
              <w:top w:val="nil"/>
              <w:left w:val="nil"/>
              <w:bottom w:val="nil"/>
              <w:right w:val="nil"/>
            </w:tcBorders>
          </w:tcPr>
          <w:p w14:paraId="068F64DB"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r>
      <w:tr w:rsidR="00DE068D" w:rsidRPr="00C45975" w14:paraId="7EA36299" w14:textId="77777777" w:rsidTr="00005463">
        <w:tc>
          <w:tcPr>
            <w:tcW w:w="1656" w:type="dxa"/>
            <w:tcBorders>
              <w:top w:val="single" w:sz="4" w:space="0" w:color="auto"/>
              <w:left w:val="nil"/>
              <w:bottom w:val="nil"/>
              <w:right w:val="nil"/>
            </w:tcBorders>
          </w:tcPr>
          <w:p w14:paraId="5A3DD145"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irregtd</w:t>
            </w:r>
            <w:proofErr w:type="spellEnd"/>
          </w:p>
        </w:tc>
        <w:tc>
          <w:tcPr>
            <w:tcW w:w="2016" w:type="dxa"/>
            <w:tcBorders>
              <w:top w:val="single" w:sz="4" w:space="0" w:color="auto"/>
              <w:left w:val="nil"/>
              <w:bottom w:val="nil"/>
              <w:right w:val="nil"/>
            </w:tcBorders>
          </w:tcPr>
          <w:p w14:paraId="10922C98"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-0.100</w:t>
            </w:r>
          </w:p>
        </w:tc>
        <w:tc>
          <w:tcPr>
            <w:tcW w:w="2016" w:type="dxa"/>
            <w:tcBorders>
              <w:top w:val="single" w:sz="4" w:space="0" w:color="auto"/>
              <w:left w:val="nil"/>
              <w:bottom w:val="nil"/>
              <w:right w:val="nil"/>
            </w:tcBorders>
          </w:tcPr>
          <w:p w14:paraId="52C5859B"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-0.350</w:t>
            </w:r>
          </w:p>
        </w:tc>
      </w:tr>
      <w:tr w:rsidR="00DE068D" w:rsidRPr="00C45975" w14:paraId="27CF9254" w14:textId="77777777" w:rsidTr="00005463">
        <w:tc>
          <w:tcPr>
            <w:tcW w:w="1656" w:type="dxa"/>
            <w:tcBorders>
              <w:top w:val="nil"/>
              <w:left w:val="nil"/>
              <w:bottom w:val="nil"/>
              <w:right w:val="nil"/>
            </w:tcBorders>
          </w:tcPr>
          <w:p w14:paraId="5D0A78DF"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5CBF56D"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(-0.53)</w:t>
            </w:r>
          </w:p>
        </w:tc>
        <w:tc>
          <w:tcPr>
            <w:tcW w:w="2016" w:type="dxa"/>
            <w:tcBorders>
              <w:top w:val="nil"/>
              <w:left w:val="nil"/>
              <w:bottom w:val="nil"/>
              <w:right w:val="nil"/>
            </w:tcBorders>
          </w:tcPr>
          <w:p w14:paraId="2C933E73"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(-0.99)</w:t>
            </w:r>
          </w:p>
        </w:tc>
      </w:tr>
      <w:tr w:rsidR="00DE068D" w:rsidRPr="00C45975" w14:paraId="05469AF0" w14:textId="77777777" w:rsidTr="00005463">
        <w:tc>
          <w:tcPr>
            <w:tcW w:w="1656" w:type="dxa"/>
            <w:tcBorders>
              <w:top w:val="nil"/>
              <w:left w:val="nil"/>
              <w:bottom w:val="nil"/>
              <w:right w:val="nil"/>
            </w:tcBorders>
          </w:tcPr>
          <w:p w14:paraId="612D5E1B"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480177D"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111DC8B"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DE068D" w:rsidRPr="00C45975" w14:paraId="11D7AF54" w14:textId="77777777" w:rsidTr="00005463">
        <w:tc>
          <w:tcPr>
            <w:tcW w:w="1656" w:type="dxa"/>
            <w:tcBorders>
              <w:top w:val="nil"/>
              <w:left w:val="nil"/>
              <w:bottom w:val="nil"/>
              <w:right w:val="nil"/>
            </w:tcBorders>
          </w:tcPr>
          <w:p w14:paraId="00B2A5E2"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0928785"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0.267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7065F0E7"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0.308</w:t>
            </w:r>
            <w:r w:rsidRPr="00C45975">
              <w:rPr>
                <w:rFonts w:ascii="Times New Roman" w:hAnsi="Times New Roman" w:cs="Times New Roman"/>
                <w:sz w:val="24"/>
                <w:szCs w:val="24"/>
                <w:highlight w:val="cyan"/>
                <w:vertAlign w:val="superscript"/>
              </w:rPr>
              <w:t>***</w:t>
            </w:r>
          </w:p>
        </w:tc>
      </w:tr>
      <w:tr w:rsidR="00DE068D" w:rsidRPr="00C45975" w14:paraId="1C984A5A" w14:textId="77777777" w:rsidTr="00005463">
        <w:tc>
          <w:tcPr>
            <w:tcW w:w="1656" w:type="dxa"/>
            <w:tcBorders>
              <w:top w:val="nil"/>
              <w:left w:val="nil"/>
              <w:bottom w:val="single" w:sz="4" w:space="0" w:color="auto"/>
              <w:right w:val="nil"/>
            </w:tcBorders>
          </w:tcPr>
          <w:p w14:paraId="1A6DE217"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04874528"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(2.48)</w:t>
            </w:r>
          </w:p>
        </w:tc>
        <w:tc>
          <w:tcPr>
            <w:tcW w:w="2016" w:type="dxa"/>
            <w:tcBorders>
              <w:top w:val="nil"/>
              <w:left w:val="nil"/>
              <w:bottom w:val="single" w:sz="4" w:space="0" w:color="auto"/>
              <w:right w:val="nil"/>
            </w:tcBorders>
          </w:tcPr>
          <w:p w14:paraId="5474B6DE"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(5.23)</w:t>
            </w:r>
          </w:p>
        </w:tc>
      </w:tr>
      <w:tr w:rsidR="00DE068D" w:rsidRPr="00C45975" w14:paraId="094F9F17" w14:textId="77777777" w:rsidTr="00005463">
        <w:tc>
          <w:tcPr>
            <w:tcW w:w="1656" w:type="dxa"/>
            <w:tcBorders>
              <w:top w:val="nil"/>
              <w:left w:val="nil"/>
              <w:bottom w:val="single" w:sz="4" w:space="0" w:color="auto"/>
              <w:right w:val="nil"/>
            </w:tcBorders>
          </w:tcPr>
          <w:p w14:paraId="19692129"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7129D9CA"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w:t>
            </w:r>
          </w:p>
        </w:tc>
        <w:tc>
          <w:tcPr>
            <w:tcW w:w="2016" w:type="dxa"/>
            <w:tcBorders>
              <w:top w:val="nil"/>
              <w:left w:val="nil"/>
              <w:bottom w:val="single" w:sz="4" w:space="0" w:color="auto"/>
              <w:right w:val="nil"/>
            </w:tcBorders>
          </w:tcPr>
          <w:p w14:paraId="6D95078D"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w:t>
            </w:r>
          </w:p>
        </w:tc>
      </w:tr>
    </w:tbl>
    <w:p w14:paraId="4E96FA5D" w14:textId="77777777" w:rsidR="00DE068D" w:rsidRPr="00C45975" w:rsidRDefault="00DE068D" w:rsidP="00DE068D">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110FA6CB" w14:textId="77777777" w:rsidR="00DE068D" w:rsidRPr="00C45975" w:rsidRDefault="00DE068D" w:rsidP="00DE068D">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7F5176" w:rsidRPr="00C45975" w14:paraId="20525029" w14:textId="77777777" w:rsidTr="00005463">
        <w:tc>
          <w:tcPr>
            <w:tcW w:w="1656" w:type="dxa"/>
            <w:tcBorders>
              <w:top w:val="single" w:sz="4" w:space="0" w:color="auto"/>
              <w:left w:val="nil"/>
              <w:bottom w:val="nil"/>
              <w:right w:val="nil"/>
            </w:tcBorders>
          </w:tcPr>
          <w:p w14:paraId="442D8BAC"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2254118A"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0E319CA0"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7F5176" w:rsidRPr="00C45975" w14:paraId="52B26AEE" w14:textId="77777777" w:rsidTr="00005463">
        <w:tc>
          <w:tcPr>
            <w:tcW w:w="1656" w:type="dxa"/>
            <w:tcBorders>
              <w:top w:val="nil"/>
              <w:left w:val="nil"/>
              <w:bottom w:val="nil"/>
              <w:right w:val="nil"/>
            </w:tcBorders>
          </w:tcPr>
          <w:p w14:paraId="10DA0AEA"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7E17A91"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c>
          <w:tcPr>
            <w:tcW w:w="2016" w:type="dxa"/>
            <w:tcBorders>
              <w:top w:val="nil"/>
              <w:left w:val="nil"/>
              <w:bottom w:val="nil"/>
              <w:right w:val="nil"/>
            </w:tcBorders>
          </w:tcPr>
          <w:p w14:paraId="4027D20F"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r>
      <w:tr w:rsidR="007F5176" w:rsidRPr="00C45975" w14:paraId="0C3FF3E7" w14:textId="77777777" w:rsidTr="00005463">
        <w:tc>
          <w:tcPr>
            <w:tcW w:w="1656" w:type="dxa"/>
            <w:tcBorders>
              <w:top w:val="single" w:sz="4" w:space="0" w:color="auto"/>
              <w:left w:val="nil"/>
              <w:bottom w:val="nil"/>
              <w:right w:val="nil"/>
            </w:tcBorders>
          </w:tcPr>
          <w:p w14:paraId="21BD125E"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6D7654D2"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0.0338</w:t>
            </w:r>
          </w:p>
        </w:tc>
        <w:tc>
          <w:tcPr>
            <w:tcW w:w="2016" w:type="dxa"/>
            <w:tcBorders>
              <w:top w:val="single" w:sz="4" w:space="0" w:color="auto"/>
              <w:left w:val="nil"/>
              <w:bottom w:val="nil"/>
              <w:right w:val="nil"/>
            </w:tcBorders>
          </w:tcPr>
          <w:p w14:paraId="6FA0F0BA"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-0.00594</w:t>
            </w:r>
          </w:p>
        </w:tc>
      </w:tr>
      <w:tr w:rsidR="007F5176" w:rsidRPr="00C45975" w14:paraId="344D3449" w14:textId="77777777" w:rsidTr="00005463">
        <w:tc>
          <w:tcPr>
            <w:tcW w:w="1656" w:type="dxa"/>
            <w:tcBorders>
              <w:top w:val="nil"/>
              <w:left w:val="nil"/>
              <w:bottom w:val="nil"/>
              <w:right w:val="nil"/>
            </w:tcBorders>
          </w:tcPr>
          <w:p w14:paraId="0C7CA0CA"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4311DE1"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(1.76)</w:t>
            </w:r>
          </w:p>
        </w:tc>
        <w:tc>
          <w:tcPr>
            <w:tcW w:w="2016" w:type="dxa"/>
            <w:tcBorders>
              <w:top w:val="nil"/>
              <w:left w:val="nil"/>
              <w:bottom w:val="nil"/>
              <w:right w:val="nil"/>
            </w:tcBorders>
          </w:tcPr>
          <w:p w14:paraId="0B5418EF"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(-0.49)</w:t>
            </w:r>
          </w:p>
        </w:tc>
      </w:tr>
      <w:tr w:rsidR="007F5176" w:rsidRPr="00C45975" w14:paraId="098B8015" w14:textId="77777777" w:rsidTr="00005463">
        <w:tc>
          <w:tcPr>
            <w:tcW w:w="1656" w:type="dxa"/>
            <w:tcBorders>
              <w:top w:val="nil"/>
              <w:left w:val="nil"/>
              <w:bottom w:val="nil"/>
              <w:right w:val="nil"/>
            </w:tcBorders>
          </w:tcPr>
          <w:p w14:paraId="10DB957C"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3027C07"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15D0B69"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7F5176" w:rsidRPr="00C45975" w14:paraId="186F9C7C" w14:textId="77777777" w:rsidTr="00005463">
        <w:tc>
          <w:tcPr>
            <w:tcW w:w="1656" w:type="dxa"/>
            <w:tcBorders>
              <w:top w:val="nil"/>
              <w:left w:val="nil"/>
              <w:bottom w:val="nil"/>
              <w:right w:val="nil"/>
            </w:tcBorders>
          </w:tcPr>
          <w:p w14:paraId="47BD5D4D"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46B12B3D"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-0.0447</w:t>
            </w:r>
          </w:p>
        </w:tc>
        <w:tc>
          <w:tcPr>
            <w:tcW w:w="2016" w:type="dxa"/>
            <w:tcBorders>
              <w:top w:val="nil"/>
              <w:left w:val="nil"/>
              <w:bottom w:val="nil"/>
              <w:right w:val="nil"/>
            </w:tcBorders>
          </w:tcPr>
          <w:p w14:paraId="15D49BF4"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0.232</w:t>
            </w:r>
            <w:r w:rsidRPr="00C45975">
              <w:rPr>
                <w:rFonts w:ascii="Times New Roman" w:hAnsi="Times New Roman" w:cs="Times New Roman"/>
                <w:sz w:val="24"/>
                <w:szCs w:val="24"/>
                <w:highlight w:val="cyan"/>
                <w:vertAlign w:val="superscript"/>
              </w:rPr>
              <w:t>*</w:t>
            </w:r>
          </w:p>
        </w:tc>
      </w:tr>
      <w:tr w:rsidR="007F5176" w:rsidRPr="00C45975" w14:paraId="76E5A550" w14:textId="77777777" w:rsidTr="00005463">
        <w:tc>
          <w:tcPr>
            <w:tcW w:w="1656" w:type="dxa"/>
            <w:tcBorders>
              <w:top w:val="nil"/>
              <w:left w:val="nil"/>
              <w:bottom w:val="single" w:sz="4" w:space="0" w:color="auto"/>
              <w:right w:val="nil"/>
            </w:tcBorders>
          </w:tcPr>
          <w:p w14:paraId="0CD30768"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16CFE9C4"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(-0.49)</w:t>
            </w:r>
          </w:p>
        </w:tc>
        <w:tc>
          <w:tcPr>
            <w:tcW w:w="2016" w:type="dxa"/>
            <w:tcBorders>
              <w:top w:val="nil"/>
              <w:left w:val="nil"/>
              <w:bottom w:val="single" w:sz="4" w:space="0" w:color="auto"/>
              <w:right w:val="nil"/>
            </w:tcBorders>
          </w:tcPr>
          <w:p w14:paraId="4147B488"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(2.76)</w:t>
            </w:r>
          </w:p>
        </w:tc>
      </w:tr>
      <w:tr w:rsidR="007F5176" w:rsidRPr="00C45975" w14:paraId="0B6838EA" w14:textId="77777777" w:rsidTr="00005463">
        <w:tc>
          <w:tcPr>
            <w:tcW w:w="1656" w:type="dxa"/>
            <w:tcBorders>
              <w:top w:val="nil"/>
              <w:left w:val="nil"/>
              <w:bottom w:val="single" w:sz="4" w:space="0" w:color="auto"/>
              <w:right w:val="nil"/>
            </w:tcBorders>
          </w:tcPr>
          <w:p w14:paraId="6303DB15"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25F8998F"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42</w:t>
            </w:r>
          </w:p>
        </w:tc>
        <w:tc>
          <w:tcPr>
            <w:tcW w:w="2016" w:type="dxa"/>
            <w:tcBorders>
              <w:top w:val="nil"/>
              <w:left w:val="nil"/>
              <w:bottom w:val="single" w:sz="4" w:space="0" w:color="auto"/>
              <w:right w:val="nil"/>
            </w:tcBorders>
          </w:tcPr>
          <w:p w14:paraId="4D27D020"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42</w:t>
            </w:r>
          </w:p>
        </w:tc>
      </w:tr>
    </w:tbl>
    <w:p w14:paraId="385C21F4" w14:textId="77777777" w:rsidR="007F5176" w:rsidRPr="00C45975" w:rsidRDefault="007F5176" w:rsidP="007F5176">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418F6947" w14:textId="77777777" w:rsidR="007F5176" w:rsidRPr="00C45975" w:rsidRDefault="007F5176" w:rsidP="007F5176">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0E39E6" w:rsidRPr="00C45975" w14:paraId="7CBC4015" w14:textId="77777777" w:rsidTr="00005463">
        <w:tc>
          <w:tcPr>
            <w:tcW w:w="1656" w:type="dxa"/>
            <w:tcBorders>
              <w:top w:val="single" w:sz="4" w:space="0" w:color="auto"/>
              <w:left w:val="nil"/>
              <w:bottom w:val="nil"/>
              <w:right w:val="nil"/>
            </w:tcBorders>
          </w:tcPr>
          <w:p w14:paraId="663C63EB"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35D225CF"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5A013E34"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E39E6" w:rsidRPr="00C45975" w14:paraId="375A9C92" w14:textId="77777777" w:rsidTr="00005463">
        <w:tc>
          <w:tcPr>
            <w:tcW w:w="1656" w:type="dxa"/>
            <w:tcBorders>
              <w:top w:val="nil"/>
              <w:left w:val="nil"/>
              <w:bottom w:val="nil"/>
              <w:right w:val="nil"/>
            </w:tcBorders>
          </w:tcPr>
          <w:p w14:paraId="5CF354BF"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E070B9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c>
          <w:tcPr>
            <w:tcW w:w="2016" w:type="dxa"/>
            <w:tcBorders>
              <w:top w:val="nil"/>
              <w:left w:val="nil"/>
              <w:bottom w:val="nil"/>
              <w:right w:val="nil"/>
            </w:tcBorders>
          </w:tcPr>
          <w:p w14:paraId="6F5552E9"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r>
      <w:tr w:rsidR="000E39E6" w:rsidRPr="00C45975" w14:paraId="4F80FF81" w14:textId="77777777" w:rsidTr="00005463">
        <w:tc>
          <w:tcPr>
            <w:tcW w:w="1656" w:type="dxa"/>
            <w:tcBorders>
              <w:top w:val="single" w:sz="4" w:space="0" w:color="auto"/>
              <w:left w:val="nil"/>
              <w:bottom w:val="nil"/>
              <w:right w:val="nil"/>
            </w:tcBorders>
          </w:tcPr>
          <w:p w14:paraId="2A35647B"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irregtd</w:t>
            </w:r>
            <w:proofErr w:type="spellEnd"/>
          </w:p>
        </w:tc>
        <w:tc>
          <w:tcPr>
            <w:tcW w:w="2016" w:type="dxa"/>
            <w:tcBorders>
              <w:top w:val="single" w:sz="4" w:space="0" w:color="auto"/>
              <w:left w:val="nil"/>
              <w:bottom w:val="nil"/>
              <w:right w:val="nil"/>
            </w:tcBorders>
          </w:tcPr>
          <w:p w14:paraId="5D5C9B8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-0.00833</w:t>
            </w:r>
          </w:p>
        </w:tc>
        <w:tc>
          <w:tcPr>
            <w:tcW w:w="2016" w:type="dxa"/>
            <w:tcBorders>
              <w:top w:val="single" w:sz="4" w:space="0" w:color="auto"/>
              <w:left w:val="nil"/>
              <w:bottom w:val="nil"/>
              <w:right w:val="nil"/>
            </w:tcBorders>
          </w:tcPr>
          <w:p w14:paraId="44C83408"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0.162</w:t>
            </w:r>
          </w:p>
        </w:tc>
      </w:tr>
      <w:tr w:rsidR="000E39E6" w:rsidRPr="00C45975" w14:paraId="629B6F52" w14:textId="77777777" w:rsidTr="00005463">
        <w:tc>
          <w:tcPr>
            <w:tcW w:w="1656" w:type="dxa"/>
            <w:tcBorders>
              <w:top w:val="nil"/>
              <w:left w:val="nil"/>
              <w:bottom w:val="nil"/>
              <w:right w:val="nil"/>
            </w:tcBorders>
          </w:tcPr>
          <w:p w14:paraId="22D6E795"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97F124D"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w:t>
            </w:r>
          </w:p>
        </w:tc>
        <w:tc>
          <w:tcPr>
            <w:tcW w:w="2016" w:type="dxa"/>
            <w:tcBorders>
              <w:top w:val="nil"/>
              <w:left w:val="nil"/>
              <w:bottom w:val="nil"/>
              <w:right w:val="nil"/>
            </w:tcBorders>
          </w:tcPr>
          <w:p w14:paraId="0AEDDF47"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(1.20)</w:t>
            </w:r>
          </w:p>
        </w:tc>
      </w:tr>
      <w:tr w:rsidR="000E39E6" w:rsidRPr="00C45975" w14:paraId="4C27385B" w14:textId="77777777" w:rsidTr="00005463">
        <w:tc>
          <w:tcPr>
            <w:tcW w:w="1656" w:type="dxa"/>
            <w:tcBorders>
              <w:top w:val="nil"/>
              <w:left w:val="nil"/>
              <w:bottom w:val="nil"/>
              <w:right w:val="nil"/>
            </w:tcBorders>
          </w:tcPr>
          <w:p w14:paraId="000A9667"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1389954"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35EEFED"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E39E6" w:rsidRPr="00C45975" w14:paraId="37371C2B" w14:textId="77777777" w:rsidTr="00005463">
        <w:tc>
          <w:tcPr>
            <w:tcW w:w="1656" w:type="dxa"/>
            <w:tcBorders>
              <w:top w:val="nil"/>
              <w:left w:val="nil"/>
              <w:bottom w:val="nil"/>
              <w:right w:val="nil"/>
            </w:tcBorders>
          </w:tcPr>
          <w:p w14:paraId="17A9CC0F"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8061C7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0.208</w:t>
            </w:r>
          </w:p>
        </w:tc>
        <w:tc>
          <w:tcPr>
            <w:tcW w:w="2016" w:type="dxa"/>
            <w:tcBorders>
              <w:top w:val="nil"/>
              <w:left w:val="nil"/>
              <w:bottom w:val="nil"/>
              <w:right w:val="nil"/>
            </w:tcBorders>
          </w:tcPr>
          <w:p w14:paraId="4D7FB45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0.179</w:t>
            </w:r>
            <w:r w:rsidRPr="00C45975">
              <w:rPr>
                <w:rFonts w:ascii="Times New Roman" w:hAnsi="Times New Roman" w:cs="Times New Roman"/>
                <w:sz w:val="24"/>
                <w:szCs w:val="24"/>
                <w:highlight w:val="cyan"/>
                <w:vertAlign w:val="superscript"/>
              </w:rPr>
              <w:t>***</w:t>
            </w:r>
          </w:p>
        </w:tc>
      </w:tr>
      <w:tr w:rsidR="000E39E6" w:rsidRPr="00C45975" w14:paraId="6357E958" w14:textId="77777777" w:rsidTr="00005463">
        <w:tc>
          <w:tcPr>
            <w:tcW w:w="1656" w:type="dxa"/>
            <w:tcBorders>
              <w:top w:val="nil"/>
              <w:left w:val="nil"/>
              <w:bottom w:val="single" w:sz="4" w:space="0" w:color="auto"/>
              <w:right w:val="nil"/>
            </w:tcBorders>
          </w:tcPr>
          <w:p w14:paraId="584062EE"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39201EFA"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(1.98)</w:t>
            </w:r>
          </w:p>
        </w:tc>
        <w:tc>
          <w:tcPr>
            <w:tcW w:w="2016" w:type="dxa"/>
            <w:tcBorders>
              <w:top w:val="nil"/>
              <w:left w:val="nil"/>
              <w:bottom w:val="single" w:sz="4" w:space="0" w:color="auto"/>
              <w:right w:val="nil"/>
            </w:tcBorders>
          </w:tcPr>
          <w:p w14:paraId="2051207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(7.69)</w:t>
            </w:r>
          </w:p>
        </w:tc>
      </w:tr>
      <w:tr w:rsidR="000E39E6" w:rsidRPr="00C45975" w14:paraId="46504F28" w14:textId="77777777" w:rsidTr="00005463">
        <w:tc>
          <w:tcPr>
            <w:tcW w:w="1656" w:type="dxa"/>
            <w:tcBorders>
              <w:top w:val="nil"/>
              <w:left w:val="nil"/>
              <w:bottom w:val="single" w:sz="4" w:space="0" w:color="auto"/>
              <w:right w:val="nil"/>
            </w:tcBorders>
          </w:tcPr>
          <w:p w14:paraId="3E9FCCEE"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38598E3"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29</w:t>
            </w:r>
          </w:p>
        </w:tc>
        <w:tc>
          <w:tcPr>
            <w:tcW w:w="2016" w:type="dxa"/>
            <w:tcBorders>
              <w:top w:val="nil"/>
              <w:left w:val="nil"/>
              <w:bottom w:val="single" w:sz="4" w:space="0" w:color="auto"/>
              <w:right w:val="nil"/>
            </w:tcBorders>
          </w:tcPr>
          <w:p w14:paraId="0746E874"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29</w:t>
            </w:r>
          </w:p>
        </w:tc>
      </w:tr>
    </w:tbl>
    <w:p w14:paraId="11F98109" w14:textId="77777777" w:rsidR="000E39E6" w:rsidRPr="00C45975" w:rsidRDefault="000E39E6" w:rsidP="000E39E6">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2BD7DF08" w14:textId="77777777" w:rsidR="000E39E6" w:rsidRPr="00C45975" w:rsidRDefault="000E39E6" w:rsidP="000E39E6">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9F0B05" w:rsidRPr="00C45975" w14:paraId="54475766" w14:textId="77777777" w:rsidTr="00005463">
        <w:tc>
          <w:tcPr>
            <w:tcW w:w="1656" w:type="dxa"/>
            <w:tcBorders>
              <w:top w:val="single" w:sz="4" w:space="0" w:color="auto"/>
              <w:left w:val="nil"/>
              <w:bottom w:val="nil"/>
              <w:right w:val="nil"/>
            </w:tcBorders>
          </w:tcPr>
          <w:p w14:paraId="1F339258"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1881F2EB"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C50D6A5"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9F0B05" w:rsidRPr="00C45975" w14:paraId="6E94A3A7" w14:textId="77777777" w:rsidTr="00005463">
        <w:tc>
          <w:tcPr>
            <w:tcW w:w="1656" w:type="dxa"/>
            <w:tcBorders>
              <w:top w:val="nil"/>
              <w:left w:val="nil"/>
              <w:bottom w:val="nil"/>
              <w:right w:val="nil"/>
            </w:tcBorders>
          </w:tcPr>
          <w:p w14:paraId="4FF0CDA1"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40D70B4"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c>
          <w:tcPr>
            <w:tcW w:w="2016" w:type="dxa"/>
            <w:tcBorders>
              <w:top w:val="nil"/>
              <w:left w:val="nil"/>
              <w:bottom w:val="nil"/>
              <w:right w:val="nil"/>
            </w:tcBorders>
          </w:tcPr>
          <w:p w14:paraId="72A993B6"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r>
      <w:tr w:rsidR="009F0B05" w:rsidRPr="00C45975" w14:paraId="5A845056" w14:textId="77777777" w:rsidTr="00005463">
        <w:tc>
          <w:tcPr>
            <w:tcW w:w="1656" w:type="dxa"/>
            <w:tcBorders>
              <w:top w:val="single" w:sz="4" w:space="0" w:color="auto"/>
              <w:left w:val="nil"/>
              <w:bottom w:val="nil"/>
              <w:right w:val="nil"/>
            </w:tcBorders>
          </w:tcPr>
          <w:p w14:paraId="5757254B"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453E902D"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0.0204</w:t>
            </w:r>
          </w:p>
        </w:tc>
        <w:tc>
          <w:tcPr>
            <w:tcW w:w="2016" w:type="dxa"/>
            <w:tcBorders>
              <w:top w:val="single" w:sz="4" w:space="0" w:color="auto"/>
              <w:left w:val="nil"/>
              <w:bottom w:val="nil"/>
              <w:right w:val="nil"/>
            </w:tcBorders>
          </w:tcPr>
          <w:p w14:paraId="0C2DF7B3"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0.0321</w:t>
            </w:r>
          </w:p>
        </w:tc>
      </w:tr>
      <w:tr w:rsidR="009F0B05" w:rsidRPr="00C45975" w14:paraId="65AF4313" w14:textId="77777777" w:rsidTr="00005463">
        <w:tc>
          <w:tcPr>
            <w:tcW w:w="1656" w:type="dxa"/>
            <w:tcBorders>
              <w:top w:val="nil"/>
              <w:left w:val="nil"/>
              <w:bottom w:val="nil"/>
              <w:right w:val="nil"/>
            </w:tcBorders>
          </w:tcPr>
          <w:p w14:paraId="210AE9EE"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ABD1E83"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(1.31)</w:t>
            </w:r>
          </w:p>
        </w:tc>
        <w:tc>
          <w:tcPr>
            <w:tcW w:w="2016" w:type="dxa"/>
            <w:tcBorders>
              <w:top w:val="nil"/>
              <w:left w:val="nil"/>
              <w:bottom w:val="nil"/>
              <w:right w:val="nil"/>
            </w:tcBorders>
          </w:tcPr>
          <w:p w14:paraId="04485345"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(0.77)</w:t>
            </w:r>
          </w:p>
        </w:tc>
      </w:tr>
      <w:tr w:rsidR="009F0B05" w:rsidRPr="00C45975" w14:paraId="2F2F8AAD" w14:textId="77777777" w:rsidTr="00005463">
        <w:tc>
          <w:tcPr>
            <w:tcW w:w="1656" w:type="dxa"/>
            <w:tcBorders>
              <w:top w:val="nil"/>
              <w:left w:val="nil"/>
              <w:bottom w:val="nil"/>
              <w:right w:val="nil"/>
            </w:tcBorders>
          </w:tcPr>
          <w:p w14:paraId="0FAD14E9"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E07DC6C"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EA01AC4"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9F0B05" w:rsidRPr="00C45975" w14:paraId="1384F046" w14:textId="77777777" w:rsidTr="00005463">
        <w:tc>
          <w:tcPr>
            <w:tcW w:w="1656" w:type="dxa"/>
            <w:tcBorders>
              <w:top w:val="nil"/>
              <w:left w:val="nil"/>
              <w:bottom w:val="nil"/>
              <w:right w:val="nil"/>
            </w:tcBorders>
          </w:tcPr>
          <w:p w14:paraId="4DE7CE89"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50EB46BE"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0.0408</w:t>
            </w:r>
          </w:p>
        </w:tc>
        <w:tc>
          <w:tcPr>
            <w:tcW w:w="2016" w:type="dxa"/>
            <w:tcBorders>
              <w:top w:val="nil"/>
              <w:left w:val="nil"/>
              <w:bottom w:val="nil"/>
              <w:right w:val="nil"/>
            </w:tcBorders>
          </w:tcPr>
          <w:p w14:paraId="6D05D338"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-0.0338</w:t>
            </w:r>
          </w:p>
        </w:tc>
      </w:tr>
      <w:tr w:rsidR="009F0B05" w:rsidRPr="00C45975" w14:paraId="05B7E5B4" w14:textId="77777777" w:rsidTr="00005463">
        <w:tc>
          <w:tcPr>
            <w:tcW w:w="1656" w:type="dxa"/>
            <w:tcBorders>
              <w:top w:val="nil"/>
              <w:left w:val="nil"/>
              <w:bottom w:val="single" w:sz="4" w:space="0" w:color="auto"/>
              <w:right w:val="nil"/>
            </w:tcBorders>
          </w:tcPr>
          <w:p w14:paraId="6E027AAE"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70294976"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w:t>
            </w:r>
          </w:p>
        </w:tc>
        <w:tc>
          <w:tcPr>
            <w:tcW w:w="2016" w:type="dxa"/>
            <w:tcBorders>
              <w:top w:val="nil"/>
              <w:left w:val="nil"/>
              <w:bottom w:val="single" w:sz="4" w:space="0" w:color="auto"/>
              <w:right w:val="nil"/>
            </w:tcBorders>
          </w:tcPr>
          <w:p w14:paraId="7AF43591"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(-0.13)</w:t>
            </w:r>
          </w:p>
        </w:tc>
      </w:tr>
      <w:tr w:rsidR="009F0B05" w:rsidRPr="00C45975" w14:paraId="2FD98330" w14:textId="77777777" w:rsidTr="00005463">
        <w:tc>
          <w:tcPr>
            <w:tcW w:w="1656" w:type="dxa"/>
            <w:tcBorders>
              <w:top w:val="nil"/>
              <w:left w:val="nil"/>
              <w:bottom w:val="single" w:sz="4" w:space="0" w:color="auto"/>
              <w:right w:val="nil"/>
            </w:tcBorders>
          </w:tcPr>
          <w:p w14:paraId="7AF3DEC3"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78B5DDC4"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35</w:t>
            </w:r>
          </w:p>
        </w:tc>
        <w:tc>
          <w:tcPr>
            <w:tcW w:w="2016" w:type="dxa"/>
            <w:tcBorders>
              <w:top w:val="nil"/>
              <w:left w:val="nil"/>
              <w:bottom w:val="single" w:sz="4" w:space="0" w:color="auto"/>
              <w:right w:val="nil"/>
            </w:tcBorders>
          </w:tcPr>
          <w:p w14:paraId="74099D03"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35</w:t>
            </w:r>
          </w:p>
        </w:tc>
      </w:tr>
    </w:tbl>
    <w:p w14:paraId="468A8F18" w14:textId="77777777" w:rsidR="009F0B05" w:rsidRPr="00C45975" w:rsidRDefault="009F0B05" w:rsidP="009F0B05">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4CA07092" w14:textId="77777777" w:rsidR="009F0B05" w:rsidRPr="00C45975" w:rsidRDefault="009F0B05" w:rsidP="009F0B05">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2BD41101" w14:textId="022C0F78" w:rsidR="000E646F" w:rsidRPr="00C45975" w:rsidRDefault="00C97C84" w:rsidP="00BF3A2C">
      <w:pPr>
        <w:rPr>
          <w:highlight w:val="cyan"/>
        </w:rPr>
      </w:pPr>
      <w:r w:rsidRPr="00C45975">
        <w:rPr>
          <w:highlight w:val="cyan"/>
        </w:rPr>
        <w:t xml:space="preserve">In another small sample, with </w:t>
      </w:r>
      <w:r w:rsidR="00251C27" w:rsidRPr="00C45975">
        <w:rPr>
          <w:highlight w:val="cyan"/>
        </w:rPr>
        <w:t>high</w:t>
      </w:r>
      <w:r w:rsidR="009A29C7" w:rsidRPr="00C45975">
        <w:rPr>
          <w:highlight w:val="cyan"/>
        </w:rPr>
        <w:t xml:space="preserve"> constraints and </w:t>
      </w:r>
      <w:r w:rsidR="000C5BED" w:rsidRPr="00C45975">
        <w:rPr>
          <w:highlight w:val="cyan"/>
        </w:rPr>
        <w:t>low</w:t>
      </w:r>
      <w:r w:rsidR="009A29C7" w:rsidRPr="00C45975">
        <w:rPr>
          <w:highlight w:val="cyan"/>
        </w:rPr>
        <w:t xml:space="preserve"> competitiveness</w:t>
      </w:r>
    </w:p>
    <w:tbl>
      <w:tblPr>
        <w:tblW w:w="0" w:type="auto"/>
        <w:tblLayout w:type="fixed"/>
        <w:tblLook w:val="0000" w:firstRow="0" w:lastRow="0" w:firstColumn="0" w:lastColumn="0" w:noHBand="0" w:noVBand="0"/>
      </w:tblPr>
      <w:tblGrid>
        <w:gridCol w:w="1656"/>
        <w:gridCol w:w="2016"/>
        <w:gridCol w:w="2016"/>
      </w:tblGrid>
      <w:tr w:rsidR="00945AB4" w:rsidRPr="00C45975" w14:paraId="72AA711F" w14:textId="77777777" w:rsidTr="00005463">
        <w:tc>
          <w:tcPr>
            <w:tcW w:w="1656" w:type="dxa"/>
            <w:tcBorders>
              <w:top w:val="single" w:sz="4" w:space="0" w:color="auto"/>
              <w:left w:val="nil"/>
              <w:bottom w:val="nil"/>
              <w:right w:val="nil"/>
            </w:tcBorders>
          </w:tcPr>
          <w:p w14:paraId="2F961B9D"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2CAE31AD"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31B472F2"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945AB4" w:rsidRPr="00C45975" w14:paraId="790DB8D3" w14:textId="77777777" w:rsidTr="00005463">
        <w:tc>
          <w:tcPr>
            <w:tcW w:w="1656" w:type="dxa"/>
            <w:tcBorders>
              <w:top w:val="nil"/>
              <w:left w:val="nil"/>
              <w:bottom w:val="nil"/>
              <w:right w:val="nil"/>
            </w:tcBorders>
          </w:tcPr>
          <w:p w14:paraId="0FC2AFD8"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AE0B56E"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c>
          <w:tcPr>
            <w:tcW w:w="2016" w:type="dxa"/>
            <w:tcBorders>
              <w:top w:val="nil"/>
              <w:left w:val="nil"/>
              <w:bottom w:val="nil"/>
              <w:right w:val="nil"/>
            </w:tcBorders>
          </w:tcPr>
          <w:p w14:paraId="599D0D22"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r>
      <w:tr w:rsidR="00945AB4" w:rsidRPr="00C45975" w14:paraId="4156E5DC" w14:textId="77777777" w:rsidTr="00005463">
        <w:tc>
          <w:tcPr>
            <w:tcW w:w="1656" w:type="dxa"/>
            <w:tcBorders>
              <w:top w:val="single" w:sz="4" w:space="0" w:color="auto"/>
              <w:left w:val="nil"/>
              <w:bottom w:val="nil"/>
              <w:right w:val="nil"/>
            </w:tcBorders>
          </w:tcPr>
          <w:p w14:paraId="1E7870F0"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lastRenderedPageBreak/>
              <w:t>lvaw_gar</w:t>
            </w:r>
            <w:proofErr w:type="spellEnd"/>
          </w:p>
        </w:tc>
        <w:tc>
          <w:tcPr>
            <w:tcW w:w="2016" w:type="dxa"/>
            <w:tcBorders>
              <w:top w:val="single" w:sz="4" w:space="0" w:color="auto"/>
              <w:left w:val="nil"/>
              <w:bottom w:val="nil"/>
              <w:right w:val="nil"/>
            </w:tcBorders>
          </w:tcPr>
          <w:p w14:paraId="0D916B73"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1.263</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1ED3E077"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-0.500</w:t>
            </w:r>
          </w:p>
        </w:tc>
      </w:tr>
      <w:tr w:rsidR="00945AB4" w:rsidRPr="00C45975" w14:paraId="5D292572" w14:textId="77777777" w:rsidTr="00005463">
        <w:tc>
          <w:tcPr>
            <w:tcW w:w="1656" w:type="dxa"/>
            <w:tcBorders>
              <w:top w:val="nil"/>
              <w:left w:val="nil"/>
              <w:bottom w:val="nil"/>
              <w:right w:val="nil"/>
            </w:tcBorders>
          </w:tcPr>
          <w:p w14:paraId="3DBCFE57"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6762C25"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(4.88)</w:t>
            </w:r>
          </w:p>
        </w:tc>
        <w:tc>
          <w:tcPr>
            <w:tcW w:w="2016" w:type="dxa"/>
            <w:tcBorders>
              <w:top w:val="nil"/>
              <w:left w:val="nil"/>
              <w:bottom w:val="nil"/>
              <w:right w:val="nil"/>
            </w:tcBorders>
          </w:tcPr>
          <w:p w14:paraId="4E88476E"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(-0.72)</w:t>
            </w:r>
          </w:p>
        </w:tc>
      </w:tr>
      <w:tr w:rsidR="00945AB4" w:rsidRPr="00C45975" w14:paraId="0E2EB9F1" w14:textId="77777777" w:rsidTr="00005463">
        <w:tc>
          <w:tcPr>
            <w:tcW w:w="1656" w:type="dxa"/>
            <w:tcBorders>
              <w:top w:val="nil"/>
              <w:left w:val="nil"/>
              <w:bottom w:val="nil"/>
              <w:right w:val="nil"/>
            </w:tcBorders>
          </w:tcPr>
          <w:p w14:paraId="0E8E6221"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7574C0E"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B0D742D"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945AB4" w:rsidRPr="00C45975" w14:paraId="595A04D0" w14:textId="77777777" w:rsidTr="00005463">
        <w:tc>
          <w:tcPr>
            <w:tcW w:w="1656" w:type="dxa"/>
            <w:tcBorders>
              <w:top w:val="nil"/>
              <w:left w:val="nil"/>
              <w:bottom w:val="nil"/>
              <w:right w:val="nil"/>
            </w:tcBorders>
          </w:tcPr>
          <w:p w14:paraId="31A012FE"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50555D7"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-1.512</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18BB0275"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-0.441</w:t>
            </w:r>
          </w:p>
        </w:tc>
      </w:tr>
      <w:tr w:rsidR="00945AB4" w:rsidRPr="00C45975" w14:paraId="2A07908D" w14:textId="77777777" w:rsidTr="00005463">
        <w:tc>
          <w:tcPr>
            <w:tcW w:w="1656" w:type="dxa"/>
            <w:tcBorders>
              <w:top w:val="nil"/>
              <w:left w:val="nil"/>
              <w:bottom w:val="single" w:sz="4" w:space="0" w:color="auto"/>
              <w:right w:val="nil"/>
            </w:tcBorders>
          </w:tcPr>
          <w:p w14:paraId="6D77963F"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1FCBE44D"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(-8.74)</w:t>
            </w:r>
          </w:p>
        </w:tc>
        <w:tc>
          <w:tcPr>
            <w:tcW w:w="2016" w:type="dxa"/>
            <w:tcBorders>
              <w:top w:val="nil"/>
              <w:left w:val="nil"/>
              <w:bottom w:val="single" w:sz="4" w:space="0" w:color="auto"/>
              <w:right w:val="nil"/>
            </w:tcBorders>
          </w:tcPr>
          <w:p w14:paraId="6C0229B9"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(-1.05)</w:t>
            </w:r>
          </w:p>
        </w:tc>
      </w:tr>
      <w:tr w:rsidR="00945AB4" w:rsidRPr="00C45975" w14:paraId="174B9E4F" w14:textId="77777777" w:rsidTr="00005463">
        <w:tc>
          <w:tcPr>
            <w:tcW w:w="1656" w:type="dxa"/>
            <w:tcBorders>
              <w:top w:val="nil"/>
              <w:left w:val="nil"/>
              <w:bottom w:val="single" w:sz="4" w:space="0" w:color="auto"/>
              <w:right w:val="nil"/>
            </w:tcBorders>
          </w:tcPr>
          <w:p w14:paraId="7F412BE3"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023DAC4A"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286</w:t>
            </w:r>
          </w:p>
        </w:tc>
        <w:tc>
          <w:tcPr>
            <w:tcW w:w="2016" w:type="dxa"/>
            <w:tcBorders>
              <w:top w:val="nil"/>
              <w:left w:val="nil"/>
              <w:bottom w:val="single" w:sz="4" w:space="0" w:color="auto"/>
              <w:right w:val="nil"/>
            </w:tcBorders>
          </w:tcPr>
          <w:p w14:paraId="13073A13"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286</w:t>
            </w:r>
          </w:p>
        </w:tc>
      </w:tr>
    </w:tbl>
    <w:p w14:paraId="4B04F80B" w14:textId="77777777" w:rsidR="00945AB4" w:rsidRPr="00C45975" w:rsidRDefault="00945AB4" w:rsidP="00945AB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18AC9271" w14:textId="77777777" w:rsidR="00945AB4" w:rsidRPr="00C45975" w:rsidRDefault="00945AB4" w:rsidP="00945AB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2F7AC7BA" w14:textId="77777777" w:rsidR="00945AB4" w:rsidRPr="00C45975" w:rsidRDefault="00945AB4" w:rsidP="00945AB4">
      <w:pPr>
        <w:widowControl w:val="0"/>
        <w:autoSpaceDE w:val="0"/>
        <w:autoSpaceDN w:val="0"/>
        <w:adjustRightInd w:val="0"/>
        <w:spacing w:after="0" w:line="240" w:lineRule="auto"/>
        <w:rPr>
          <w:rFonts w:ascii="Times New Roman" w:hAnsi="Times New Roman" w:cs="Times New Roman"/>
          <w:sz w:val="24"/>
          <w:szCs w:val="24"/>
          <w:highlight w:val="cyan"/>
        </w:rPr>
      </w:pPr>
    </w:p>
    <w:tbl>
      <w:tblPr>
        <w:tblW w:w="0" w:type="auto"/>
        <w:tblLayout w:type="fixed"/>
        <w:tblLook w:val="0000" w:firstRow="0" w:lastRow="0" w:firstColumn="0" w:lastColumn="0" w:noHBand="0" w:noVBand="0"/>
      </w:tblPr>
      <w:tblGrid>
        <w:gridCol w:w="1656"/>
        <w:gridCol w:w="2016"/>
        <w:gridCol w:w="2016"/>
      </w:tblGrid>
      <w:tr w:rsidR="00432272" w:rsidRPr="00C45975" w14:paraId="1B33020E" w14:textId="77777777" w:rsidTr="00005463">
        <w:tc>
          <w:tcPr>
            <w:tcW w:w="1656" w:type="dxa"/>
            <w:tcBorders>
              <w:top w:val="single" w:sz="4" w:space="0" w:color="auto"/>
              <w:left w:val="nil"/>
              <w:bottom w:val="nil"/>
              <w:right w:val="nil"/>
            </w:tcBorders>
          </w:tcPr>
          <w:p w14:paraId="3687A115"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0C3B6CBD"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5EC7346C"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432272" w:rsidRPr="00C45975" w14:paraId="06160F88" w14:textId="77777777" w:rsidTr="00005463">
        <w:tc>
          <w:tcPr>
            <w:tcW w:w="1656" w:type="dxa"/>
            <w:tcBorders>
              <w:top w:val="nil"/>
              <w:left w:val="nil"/>
              <w:bottom w:val="nil"/>
              <w:right w:val="nil"/>
            </w:tcBorders>
          </w:tcPr>
          <w:p w14:paraId="0EE29F5E"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708892E"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c>
          <w:tcPr>
            <w:tcW w:w="2016" w:type="dxa"/>
            <w:tcBorders>
              <w:top w:val="nil"/>
              <w:left w:val="nil"/>
              <w:bottom w:val="nil"/>
              <w:right w:val="nil"/>
            </w:tcBorders>
          </w:tcPr>
          <w:p w14:paraId="0D836DC0"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r>
      <w:tr w:rsidR="00432272" w:rsidRPr="00C45975" w14:paraId="5F503CC4" w14:textId="77777777" w:rsidTr="00005463">
        <w:tc>
          <w:tcPr>
            <w:tcW w:w="1656" w:type="dxa"/>
            <w:tcBorders>
              <w:top w:val="single" w:sz="4" w:space="0" w:color="auto"/>
              <w:left w:val="nil"/>
              <w:bottom w:val="nil"/>
              <w:right w:val="nil"/>
            </w:tcBorders>
          </w:tcPr>
          <w:p w14:paraId="175E9167"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21FCCA5A"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-0.0385</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79EB9F6E"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-0.0557</w:t>
            </w:r>
          </w:p>
        </w:tc>
      </w:tr>
      <w:tr w:rsidR="00432272" w:rsidRPr="00C45975" w14:paraId="53B32A62" w14:textId="77777777" w:rsidTr="00005463">
        <w:tc>
          <w:tcPr>
            <w:tcW w:w="1656" w:type="dxa"/>
            <w:tcBorders>
              <w:top w:val="nil"/>
              <w:left w:val="nil"/>
              <w:bottom w:val="nil"/>
              <w:right w:val="nil"/>
            </w:tcBorders>
          </w:tcPr>
          <w:p w14:paraId="24380425"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403CA39"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(-3.27)</w:t>
            </w:r>
          </w:p>
        </w:tc>
        <w:tc>
          <w:tcPr>
            <w:tcW w:w="2016" w:type="dxa"/>
            <w:tcBorders>
              <w:top w:val="nil"/>
              <w:left w:val="nil"/>
              <w:bottom w:val="nil"/>
              <w:right w:val="nil"/>
            </w:tcBorders>
          </w:tcPr>
          <w:p w14:paraId="7071AAD2"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(-1.42)</w:t>
            </w:r>
          </w:p>
        </w:tc>
      </w:tr>
      <w:tr w:rsidR="00432272" w:rsidRPr="00C45975" w14:paraId="5FDAE13B" w14:textId="77777777" w:rsidTr="00005463">
        <w:tc>
          <w:tcPr>
            <w:tcW w:w="1656" w:type="dxa"/>
            <w:tcBorders>
              <w:top w:val="nil"/>
              <w:left w:val="nil"/>
              <w:bottom w:val="nil"/>
              <w:right w:val="nil"/>
            </w:tcBorders>
          </w:tcPr>
          <w:p w14:paraId="1B6DC141"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C9B914F"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7227477"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432272" w:rsidRPr="00C45975" w14:paraId="6CEB9EDF" w14:textId="77777777" w:rsidTr="00005463">
        <w:tc>
          <w:tcPr>
            <w:tcW w:w="1656" w:type="dxa"/>
            <w:tcBorders>
              <w:top w:val="nil"/>
              <w:left w:val="nil"/>
              <w:bottom w:val="nil"/>
              <w:right w:val="nil"/>
            </w:tcBorders>
          </w:tcPr>
          <w:p w14:paraId="6AFF72C4"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4E2BD57"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-0.476</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6986A16C"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-0.355</w:t>
            </w:r>
          </w:p>
        </w:tc>
      </w:tr>
      <w:tr w:rsidR="00432272" w:rsidRPr="00C45975" w14:paraId="63AB4A3C" w14:textId="77777777" w:rsidTr="00005463">
        <w:tc>
          <w:tcPr>
            <w:tcW w:w="1656" w:type="dxa"/>
            <w:tcBorders>
              <w:top w:val="nil"/>
              <w:left w:val="nil"/>
              <w:bottom w:val="single" w:sz="4" w:space="0" w:color="auto"/>
              <w:right w:val="nil"/>
            </w:tcBorders>
          </w:tcPr>
          <w:p w14:paraId="263ACDC5"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38F4C2AD"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(-4.98)</w:t>
            </w:r>
          </w:p>
        </w:tc>
        <w:tc>
          <w:tcPr>
            <w:tcW w:w="2016" w:type="dxa"/>
            <w:tcBorders>
              <w:top w:val="nil"/>
              <w:left w:val="nil"/>
              <w:bottom w:val="single" w:sz="4" w:space="0" w:color="auto"/>
              <w:right w:val="nil"/>
            </w:tcBorders>
          </w:tcPr>
          <w:p w14:paraId="20DD44F6"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(-1.29)</w:t>
            </w:r>
          </w:p>
        </w:tc>
      </w:tr>
      <w:tr w:rsidR="00432272" w:rsidRPr="00C45975" w14:paraId="0C16FD9D" w14:textId="77777777" w:rsidTr="00005463">
        <w:tc>
          <w:tcPr>
            <w:tcW w:w="1656" w:type="dxa"/>
            <w:tcBorders>
              <w:top w:val="nil"/>
              <w:left w:val="nil"/>
              <w:bottom w:val="single" w:sz="4" w:space="0" w:color="auto"/>
              <w:right w:val="nil"/>
            </w:tcBorders>
          </w:tcPr>
          <w:p w14:paraId="3D4BDAD4"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2216DA99"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368</w:t>
            </w:r>
          </w:p>
        </w:tc>
        <w:tc>
          <w:tcPr>
            <w:tcW w:w="2016" w:type="dxa"/>
            <w:tcBorders>
              <w:top w:val="nil"/>
              <w:left w:val="nil"/>
              <w:bottom w:val="single" w:sz="4" w:space="0" w:color="auto"/>
              <w:right w:val="nil"/>
            </w:tcBorders>
          </w:tcPr>
          <w:p w14:paraId="61CCE26B"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368</w:t>
            </w:r>
          </w:p>
        </w:tc>
      </w:tr>
    </w:tbl>
    <w:p w14:paraId="690C223C" w14:textId="77777777" w:rsidR="00432272" w:rsidRPr="00C45975" w:rsidRDefault="00432272" w:rsidP="00432272">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637D255B" w14:textId="4B8F5546" w:rsidR="009A29C7" w:rsidRPr="00C45975" w:rsidRDefault="00432272" w:rsidP="00682C2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682C29" w:rsidRPr="00C45975" w14:paraId="6C239A5D" w14:textId="77777777" w:rsidTr="00005463">
        <w:tc>
          <w:tcPr>
            <w:tcW w:w="1656" w:type="dxa"/>
            <w:tcBorders>
              <w:top w:val="single" w:sz="4" w:space="0" w:color="auto"/>
              <w:left w:val="nil"/>
              <w:bottom w:val="nil"/>
              <w:right w:val="nil"/>
            </w:tcBorders>
          </w:tcPr>
          <w:p w14:paraId="425F1B4F"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55A780D0"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1605809C"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682C29" w:rsidRPr="00C45975" w14:paraId="7627C93C" w14:textId="77777777" w:rsidTr="00005463">
        <w:tc>
          <w:tcPr>
            <w:tcW w:w="1656" w:type="dxa"/>
            <w:tcBorders>
              <w:top w:val="nil"/>
              <w:left w:val="nil"/>
              <w:bottom w:val="nil"/>
              <w:right w:val="nil"/>
            </w:tcBorders>
          </w:tcPr>
          <w:p w14:paraId="2CE5DCBE"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95241B7"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c>
          <w:tcPr>
            <w:tcW w:w="2016" w:type="dxa"/>
            <w:tcBorders>
              <w:top w:val="nil"/>
              <w:left w:val="nil"/>
              <w:bottom w:val="nil"/>
              <w:right w:val="nil"/>
            </w:tcBorders>
          </w:tcPr>
          <w:p w14:paraId="33AFB10B"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r>
      <w:tr w:rsidR="00682C29" w:rsidRPr="00C45975" w14:paraId="4E63F559" w14:textId="77777777" w:rsidTr="00005463">
        <w:tc>
          <w:tcPr>
            <w:tcW w:w="1656" w:type="dxa"/>
            <w:tcBorders>
              <w:top w:val="single" w:sz="4" w:space="0" w:color="auto"/>
              <w:left w:val="nil"/>
              <w:bottom w:val="nil"/>
              <w:right w:val="nil"/>
            </w:tcBorders>
          </w:tcPr>
          <w:p w14:paraId="6F60059E"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lvaw_gar</w:t>
            </w:r>
            <w:proofErr w:type="spellEnd"/>
          </w:p>
        </w:tc>
        <w:tc>
          <w:tcPr>
            <w:tcW w:w="2016" w:type="dxa"/>
            <w:tcBorders>
              <w:top w:val="single" w:sz="4" w:space="0" w:color="auto"/>
              <w:left w:val="nil"/>
              <w:bottom w:val="nil"/>
              <w:right w:val="nil"/>
            </w:tcBorders>
          </w:tcPr>
          <w:p w14:paraId="51C4844B"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0.346</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7B1421DC"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0.575</w:t>
            </w:r>
            <w:r w:rsidRPr="00C45975">
              <w:rPr>
                <w:rFonts w:ascii="Times New Roman" w:hAnsi="Times New Roman" w:cs="Times New Roman"/>
                <w:sz w:val="24"/>
                <w:szCs w:val="24"/>
                <w:highlight w:val="cyan"/>
                <w:vertAlign w:val="superscript"/>
              </w:rPr>
              <w:t>*</w:t>
            </w:r>
          </w:p>
        </w:tc>
      </w:tr>
      <w:tr w:rsidR="00682C29" w:rsidRPr="00C45975" w14:paraId="26103427" w14:textId="77777777" w:rsidTr="00005463">
        <w:tc>
          <w:tcPr>
            <w:tcW w:w="1656" w:type="dxa"/>
            <w:tcBorders>
              <w:top w:val="nil"/>
              <w:left w:val="nil"/>
              <w:bottom w:val="nil"/>
              <w:right w:val="nil"/>
            </w:tcBorders>
          </w:tcPr>
          <w:p w14:paraId="6BC83E0E"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C01A069"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(2.90)</w:t>
            </w:r>
          </w:p>
        </w:tc>
        <w:tc>
          <w:tcPr>
            <w:tcW w:w="2016" w:type="dxa"/>
            <w:tcBorders>
              <w:top w:val="nil"/>
              <w:left w:val="nil"/>
              <w:bottom w:val="nil"/>
              <w:right w:val="nil"/>
            </w:tcBorders>
          </w:tcPr>
          <w:p w14:paraId="6573C9C3"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(2.61)</w:t>
            </w:r>
          </w:p>
        </w:tc>
      </w:tr>
      <w:tr w:rsidR="00682C29" w:rsidRPr="00C45975" w14:paraId="207E55F9" w14:textId="77777777" w:rsidTr="00005463">
        <w:tc>
          <w:tcPr>
            <w:tcW w:w="1656" w:type="dxa"/>
            <w:tcBorders>
              <w:top w:val="nil"/>
              <w:left w:val="nil"/>
              <w:bottom w:val="nil"/>
              <w:right w:val="nil"/>
            </w:tcBorders>
          </w:tcPr>
          <w:p w14:paraId="56AD8EBD"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B49C8F1"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8AEAF0D"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682C29" w:rsidRPr="00C45975" w14:paraId="69879407" w14:textId="77777777" w:rsidTr="00005463">
        <w:tc>
          <w:tcPr>
            <w:tcW w:w="1656" w:type="dxa"/>
            <w:tcBorders>
              <w:top w:val="nil"/>
              <w:left w:val="nil"/>
              <w:bottom w:val="nil"/>
              <w:right w:val="nil"/>
            </w:tcBorders>
          </w:tcPr>
          <w:p w14:paraId="29B4F98A"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1ED5F2EF"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0.285</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10D57F76"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0.174</w:t>
            </w:r>
          </w:p>
        </w:tc>
      </w:tr>
      <w:tr w:rsidR="00682C29" w:rsidRPr="00C45975" w14:paraId="78C377DD" w14:textId="77777777" w:rsidTr="00005463">
        <w:tc>
          <w:tcPr>
            <w:tcW w:w="1656" w:type="dxa"/>
            <w:tcBorders>
              <w:top w:val="nil"/>
              <w:left w:val="nil"/>
              <w:bottom w:val="single" w:sz="4" w:space="0" w:color="auto"/>
              <w:right w:val="nil"/>
            </w:tcBorders>
          </w:tcPr>
          <w:p w14:paraId="1146B94C"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613F4989"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(4.57)</w:t>
            </w:r>
          </w:p>
        </w:tc>
        <w:tc>
          <w:tcPr>
            <w:tcW w:w="2016" w:type="dxa"/>
            <w:tcBorders>
              <w:top w:val="nil"/>
              <w:left w:val="nil"/>
              <w:bottom w:val="single" w:sz="4" w:space="0" w:color="auto"/>
              <w:right w:val="nil"/>
            </w:tcBorders>
          </w:tcPr>
          <w:p w14:paraId="53F4FE0F"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(1.63)</w:t>
            </w:r>
          </w:p>
        </w:tc>
      </w:tr>
      <w:tr w:rsidR="00682C29" w:rsidRPr="00C45975" w14:paraId="2C0F84CC" w14:textId="77777777" w:rsidTr="00005463">
        <w:tc>
          <w:tcPr>
            <w:tcW w:w="1656" w:type="dxa"/>
            <w:tcBorders>
              <w:top w:val="nil"/>
              <w:left w:val="nil"/>
              <w:bottom w:val="single" w:sz="4" w:space="0" w:color="auto"/>
              <w:right w:val="nil"/>
            </w:tcBorders>
          </w:tcPr>
          <w:p w14:paraId="7DDA4122"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3901AC43"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538</w:t>
            </w:r>
          </w:p>
        </w:tc>
        <w:tc>
          <w:tcPr>
            <w:tcW w:w="2016" w:type="dxa"/>
            <w:tcBorders>
              <w:top w:val="nil"/>
              <w:left w:val="nil"/>
              <w:bottom w:val="single" w:sz="4" w:space="0" w:color="auto"/>
              <w:right w:val="nil"/>
            </w:tcBorders>
          </w:tcPr>
          <w:p w14:paraId="103A6A5F"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538</w:t>
            </w:r>
          </w:p>
        </w:tc>
      </w:tr>
    </w:tbl>
    <w:p w14:paraId="6A66481E" w14:textId="77777777" w:rsidR="00682C29" w:rsidRPr="00C45975" w:rsidRDefault="00682C29" w:rsidP="00682C2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70E9A812" w14:textId="77777777" w:rsidR="00682C29" w:rsidRPr="00C45975" w:rsidRDefault="00682C29" w:rsidP="00682C2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4EE1C06F" w14:textId="77777777" w:rsidR="00682C29" w:rsidRPr="00C45975" w:rsidRDefault="00682C29" w:rsidP="00682C29">
      <w:pPr>
        <w:widowControl w:val="0"/>
        <w:autoSpaceDE w:val="0"/>
        <w:autoSpaceDN w:val="0"/>
        <w:adjustRightInd w:val="0"/>
        <w:spacing w:after="0" w:line="240" w:lineRule="auto"/>
        <w:rPr>
          <w:rFonts w:ascii="Times New Roman" w:hAnsi="Times New Roman" w:cs="Times New Roman"/>
          <w:sz w:val="24"/>
          <w:szCs w:val="24"/>
          <w:highlight w:val="cyan"/>
        </w:rPr>
      </w:pPr>
    </w:p>
    <w:tbl>
      <w:tblPr>
        <w:tblW w:w="0" w:type="auto"/>
        <w:tblLayout w:type="fixed"/>
        <w:tblLook w:val="0000" w:firstRow="0" w:lastRow="0" w:firstColumn="0" w:lastColumn="0" w:noHBand="0" w:noVBand="0"/>
      </w:tblPr>
      <w:tblGrid>
        <w:gridCol w:w="1656"/>
        <w:gridCol w:w="2016"/>
        <w:gridCol w:w="2016"/>
      </w:tblGrid>
      <w:tr w:rsidR="007B3912" w:rsidRPr="00C45975" w14:paraId="0919ED1B" w14:textId="77777777" w:rsidTr="00005463">
        <w:tc>
          <w:tcPr>
            <w:tcW w:w="1656" w:type="dxa"/>
            <w:tcBorders>
              <w:top w:val="single" w:sz="4" w:space="0" w:color="auto"/>
              <w:left w:val="nil"/>
              <w:bottom w:val="nil"/>
              <w:right w:val="nil"/>
            </w:tcBorders>
          </w:tcPr>
          <w:p w14:paraId="6FDDF1B6"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308EC4DC"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7022FB91"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7B3912" w:rsidRPr="00C45975" w14:paraId="63D293A9" w14:textId="77777777" w:rsidTr="00005463">
        <w:tc>
          <w:tcPr>
            <w:tcW w:w="1656" w:type="dxa"/>
            <w:tcBorders>
              <w:top w:val="nil"/>
              <w:left w:val="nil"/>
              <w:bottom w:val="nil"/>
              <w:right w:val="nil"/>
            </w:tcBorders>
          </w:tcPr>
          <w:p w14:paraId="42A9C900"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690D494"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c>
          <w:tcPr>
            <w:tcW w:w="2016" w:type="dxa"/>
            <w:tcBorders>
              <w:top w:val="nil"/>
              <w:left w:val="nil"/>
              <w:bottom w:val="nil"/>
              <w:right w:val="nil"/>
            </w:tcBorders>
          </w:tcPr>
          <w:p w14:paraId="7D37E17E"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r>
      <w:tr w:rsidR="007B3912" w:rsidRPr="00C45975" w14:paraId="409FA615" w14:textId="77777777" w:rsidTr="00005463">
        <w:tc>
          <w:tcPr>
            <w:tcW w:w="1656" w:type="dxa"/>
            <w:tcBorders>
              <w:top w:val="single" w:sz="4" w:space="0" w:color="auto"/>
              <w:left w:val="nil"/>
              <w:bottom w:val="nil"/>
              <w:right w:val="nil"/>
            </w:tcBorders>
          </w:tcPr>
          <w:p w14:paraId="2077A206"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288F7BAD"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0.00533</w:t>
            </w:r>
          </w:p>
        </w:tc>
        <w:tc>
          <w:tcPr>
            <w:tcW w:w="2016" w:type="dxa"/>
            <w:tcBorders>
              <w:top w:val="single" w:sz="4" w:space="0" w:color="auto"/>
              <w:left w:val="nil"/>
              <w:bottom w:val="nil"/>
              <w:right w:val="nil"/>
            </w:tcBorders>
          </w:tcPr>
          <w:p w14:paraId="238857DE"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-0.000720</w:t>
            </w:r>
          </w:p>
        </w:tc>
      </w:tr>
      <w:tr w:rsidR="007B3912" w:rsidRPr="00C45975" w14:paraId="17C2242E" w14:textId="77777777" w:rsidTr="00005463">
        <w:tc>
          <w:tcPr>
            <w:tcW w:w="1656" w:type="dxa"/>
            <w:tcBorders>
              <w:top w:val="nil"/>
              <w:left w:val="nil"/>
              <w:bottom w:val="nil"/>
              <w:right w:val="nil"/>
            </w:tcBorders>
          </w:tcPr>
          <w:p w14:paraId="47B34394"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3345756"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(1.10)</w:t>
            </w:r>
          </w:p>
        </w:tc>
        <w:tc>
          <w:tcPr>
            <w:tcW w:w="2016" w:type="dxa"/>
            <w:tcBorders>
              <w:top w:val="nil"/>
              <w:left w:val="nil"/>
              <w:bottom w:val="nil"/>
              <w:right w:val="nil"/>
            </w:tcBorders>
          </w:tcPr>
          <w:p w14:paraId="4A075E86"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(-0.08)</w:t>
            </w:r>
          </w:p>
        </w:tc>
      </w:tr>
      <w:tr w:rsidR="007B3912" w:rsidRPr="00C45975" w14:paraId="50786666" w14:textId="77777777" w:rsidTr="00005463">
        <w:tc>
          <w:tcPr>
            <w:tcW w:w="1656" w:type="dxa"/>
            <w:tcBorders>
              <w:top w:val="nil"/>
              <w:left w:val="nil"/>
              <w:bottom w:val="nil"/>
              <w:right w:val="nil"/>
            </w:tcBorders>
          </w:tcPr>
          <w:p w14:paraId="0DF2C8F6"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6144D73"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3EC0493"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7B3912" w:rsidRPr="00C45975" w14:paraId="417E7FD1" w14:textId="77777777" w:rsidTr="00005463">
        <w:tc>
          <w:tcPr>
            <w:tcW w:w="1656" w:type="dxa"/>
            <w:tcBorders>
              <w:top w:val="nil"/>
              <w:left w:val="nil"/>
              <w:bottom w:val="nil"/>
              <w:right w:val="nil"/>
            </w:tcBorders>
          </w:tcPr>
          <w:p w14:paraId="35FD3F95"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4F7CF984"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0.387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087D1440"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0.433</w:t>
            </w:r>
            <w:r w:rsidRPr="00C45975">
              <w:rPr>
                <w:rFonts w:ascii="Times New Roman" w:hAnsi="Times New Roman" w:cs="Times New Roman"/>
                <w:sz w:val="24"/>
                <w:szCs w:val="24"/>
                <w:highlight w:val="cyan"/>
                <w:vertAlign w:val="superscript"/>
              </w:rPr>
              <w:t>***</w:t>
            </w:r>
          </w:p>
        </w:tc>
      </w:tr>
      <w:tr w:rsidR="007B3912" w:rsidRPr="00C45975" w14:paraId="014C4020" w14:textId="77777777" w:rsidTr="00005463">
        <w:tc>
          <w:tcPr>
            <w:tcW w:w="1656" w:type="dxa"/>
            <w:tcBorders>
              <w:top w:val="nil"/>
              <w:left w:val="nil"/>
              <w:bottom w:val="single" w:sz="4" w:space="0" w:color="auto"/>
              <w:right w:val="nil"/>
            </w:tcBorders>
          </w:tcPr>
          <w:p w14:paraId="2CFA40FB"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179B9EAC"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(9.32)</w:t>
            </w:r>
          </w:p>
        </w:tc>
        <w:tc>
          <w:tcPr>
            <w:tcW w:w="2016" w:type="dxa"/>
            <w:tcBorders>
              <w:top w:val="nil"/>
              <w:left w:val="nil"/>
              <w:bottom w:val="single" w:sz="4" w:space="0" w:color="auto"/>
              <w:right w:val="nil"/>
            </w:tcBorders>
          </w:tcPr>
          <w:p w14:paraId="4822FCE2"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(6.10)</w:t>
            </w:r>
          </w:p>
        </w:tc>
      </w:tr>
      <w:tr w:rsidR="007B3912" w:rsidRPr="00C45975" w14:paraId="1D3AA1D9" w14:textId="77777777" w:rsidTr="00005463">
        <w:tc>
          <w:tcPr>
            <w:tcW w:w="1656" w:type="dxa"/>
            <w:tcBorders>
              <w:top w:val="nil"/>
              <w:left w:val="nil"/>
              <w:bottom w:val="single" w:sz="4" w:space="0" w:color="auto"/>
              <w:right w:val="nil"/>
            </w:tcBorders>
          </w:tcPr>
          <w:p w14:paraId="6544ACD1"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6A6B9AD"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625</w:t>
            </w:r>
          </w:p>
        </w:tc>
        <w:tc>
          <w:tcPr>
            <w:tcW w:w="2016" w:type="dxa"/>
            <w:tcBorders>
              <w:top w:val="nil"/>
              <w:left w:val="nil"/>
              <w:bottom w:val="single" w:sz="4" w:space="0" w:color="auto"/>
              <w:right w:val="nil"/>
            </w:tcBorders>
          </w:tcPr>
          <w:p w14:paraId="152DE86F"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625</w:t>
            </w:r>
          </w:p>
        </w:tc>
      </w:tr>
    </w:tbl>
    <w:p w14:paraId="6D5FCC29" w14:textId="77777777" w:rsidR="007B3912" w:rsidRPr="00C45975" w:rsidRDefault="007B3912" w:rsidP="007B3912">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7B1111DD" w14:textId="717CCAEB" w:rsidR="00682C29" w:rsidRPr="00C45975" w:rsidRDefault="007B3912" w:rsidP="00E06BA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168E66E9" w14:textId="77777777" w:rsidR="00E06BA4" w:rsidRPr="00C45975" w:rsidRDefault="00E06BA4" w:rsidP="00BF3A2C">
      <w:pPr>
        <w:rPr>
          <w:highlight w:val="cyan"/>
        </w:rPr>
      </w:pPr>
    </w:p>
    <w:p w14:paraId="3A2E4444" w14:textId="1C773762" w:rsidR="00682C29" w:rsidRPr="00C45975" w:rsidRDefault="00682C29" w:rsidP="00BF3A2C">
      <w:pPr>
        <w:rPr>
          <w:highlight w:val="cyan"/>
        </w:rPr>
      </w:pPr>
      <w:proofErr w:type="gramStart"/>
      <w:r w:rsidRPr="00C45975">
        <w:rPr>
          <w:highlight w:val="cyan"/>
        </w:rPr>
        <w:t>Finally</w:t>
      </w:r>
      <w:proofErr w:type="gramEnd"/>
      <w:r w:rsidRPr="00C45975">
        <w:rPr>
          <w:highlight w:val="cyan"/>
        </w:rPr>
        <w:t xml:space="preserve"> with</w:t>
      </w:r>
      <w:r w:rsidR="00E06BA4" w:rsidRPr="00C45975">
        <w:rPr>
          <w:highlight w:val="cyan"/>
        </w:rPr>
        <w:t xml:space="preserve"> low competitiveness and executive constraints</w:t>
      </w:r>
    </w:p>
    <w:tbl>
      <w:tblPr>
        <w:tblW w:w="0" w:type="auto"/>
        <w:tblLayout w:type="fixed"/>
        <w:tblLook w:val="0000" w:firstRow="0" w:lastRow="0" w:firstColumn="0" w:lastColumn="0" w:noHBand="0" w:noVBand="0"/>
      </w:tblPr>
      <w:tblGrid>
        <w:gridCol w:w="1656"/>
        <w:gridCol w:w="2016"/>
        <w:gridCol w:w="2016"/>
      </w:tblGrid>
      <w:tr w:rsidR="000E5759" w:rsidRPr="00C45975" w14:paraId="59813F57" w14:textId="77777777" w:rsidTr="00005463">
        <w:tc>
          <w:tcPr>
            <w:tcW w:w="1656" w:type="dxa"/>
            <w:tcBorders>
              <w:top w:val="single" w:sz="4" w:space="0" w:color="auto"/>
              <w:left w:val="nil"/>
              <w:bottom w:val="nil"/>
              <w:right w:val="nil"/>
            </w:tcBorders>
          </w:tcPr>
          <w:p w14:paraId="06618335"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65F34432"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08C17FE"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E5759" w:rsidRPr="00C45975" w14:paraId="216B9EF7" w14:textId="77777777" w:rsidTr="00005463">
        <w:tc>
          <w:tcPr>
            <w:tcW w:w="1656" w:type="dxa"/>
            <w:tcBorders>
              <w:top w:val="nil"/>
              <w:left w:val="nil"/>
              <w:bottom w:val="nil"/>
              <w:right w:val="nil"/>
            </w:tcBorders>
          </w:tcPr>
          <w:p w14:paraId="4E67E52A"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2CF6011"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c>
          <w:tcPr>
            <w:tcW w:w="2016" w:type="dxa"/>
            <w:tcBorders>
              <w:top w:val="nil"/>
              <w:left w:val="nil"/>
              <w:bottom w:val="nil"/>
              <w:right w:val="nil"/>
            </w:tcBorders>
          </w:tcPr>
          <w:p w14:paraId="68A51D8D"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r>
      <w:tr w:rsidR="000E5759" w:rsidRPr="00C45975" w14:paraId="754FC3A0" w14:textId="77777777" w:rsidTr="00005463">
        <w:tc>
          <w:tcPr>
            <w:tcW w:w="1656" w:type="dxa"/>
            <w:tcBorders>
              <w:top w:val="single" w:sz="4" w:space="0" w:color="auto"/>
              <w:left w:val="nil"/>
              <w:bottom w:val="nil"/>
              <w:right w:val="nil"/>
            </w:tcBorders>
          </w:tcPr>
          <w:p w14:paraId="38BE340F"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irregtd</w:t>
            </w:r>
            <w:proofErr w:type="spellEnd"/>
          </w:p>
        </w:tc>
        <w:tc>
          <w:tcPr>
            <w:tcW w:w="2016" w:type="dxa"/>
            <w:tcBorders>
              <w:top w:val="single" w:sz="4" w:space="0" w:color="auto"/>
              <w:left w:val="nil"/>
              <w:bottom w:val="nil"/>
              <w:right w:val="nil"/>
            </w:tcBorders>
          </w:tcPr>
          <w:p w14:paraId="73E0047A"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0.0218</w:t>
            </w:r>
          </w:p>
        </w:tc>
        <w:tc>
          <w:tcPr>
            <w:tcW w:w="2016" w:type="dxa"/>
            <w:tcBorders>
              <w:top w:val="single" w:sz="4" w:space="0" w:color="auto"/>
              <w:left w:val="nil"/>
              <w:bottom w:val="nil"/>
              <w:right w:val="nil"/>
            </w:tcBorders>
          </w:tcPr>
          <w:p w14:paraId="7418C523"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-0.0550</w:t>
            </w:r>
          </w:p>
        </w:tc>
      </w:tr>
      <w:tr w:rsidR="000E5759" w:rsidRPr="00C45975" w14:paraId="308D5C48" w14:textId="77777777" w:rsidTr="00005463">
        <w:tc>
          <w:tcPr>
            <w:tcW w:w="1656" w:type="dxa"/>
            <w:tcBorders>
              <w:top w:val="nil"/>
              <w:left w:val="nil"/>
              <w:bottom w:val="nil"/>
              <w:right w:val="nil"/>
            </w:tcBorders>
          </w:tcPr>
          <w:p w14:paraId="1010D155"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03B5543"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(0.15)</w:t>
            </w:r>
          </w:p>
        </w:tc>
        <w:tc>
          <w:tcPr>
            <w:tcW w:w="2016" w:type="dxa"/>
            <w:tcBorders>
              <w:top w:val="nil"/>
              <w:left w:val="nil"/>
              <w:bottom w:val="nil"/>
              <w:right w:val="nil"/>
            </w:tcBorders>
          </w:tcPr>
          <w:p w14:paraId="2F42CBB3"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(-0.64)</w:t>
            </w:r>
          </w:p>
        </w:tc>
      </w:tr>
      <w:tr w:rsidR="000E5759" w:rsidRPr="00C45975" w14:paraId="0240B431" w14:textId="77777777" w:rsidTr="00005463">
        <w:tc>
          <w:tcPr>
            <w:tcW w:w="1656" w:type="dxa"/>
            <w:tcBorders>
              <w:top w:val="nil"/>
              <w:left w:val="nil"/>
              <w:bottom w:val="nil"/>
              <w:right w:val="nil"/>
            </w:tcBorders>
          </w:tcPr>
          <w:p w14:paraId="3A1A1039"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4ED1AEC"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72E9CC2"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E5759" w:rsidRPr="00C45975" w14:paraId="64245160" w14:textId="77777777" w:rsidTr="00005463">
        <w:tc>
          <w:tcPr>
            <w:tcW w:w="1656" w:type="dxa"/>
            <w:tcBorders>
              <w:top w:val="nil"/>
              <w:left w:val="nil"/>
              <w:bottom w:val="nil"/>
              <w:right w:val="nil"/>
            </w:tcBorders>
          </w:tcPr>
          <w:p w14:paraId="074D7CFE"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42C0D0CD"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-0.779</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7A171F9A"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-0.772</w:t>
            </w:r>
            <w:r w:rsidRPr="00C45975">
              <w:rPr>
                <w:rFonts w:ascii="Times New Roman" w:hAnsi="Times New Roman" w:cs="Times New Roman"/>
                <w:sz w:val="24"/>
                <w:szCs w:val="24"/>
                <w:highlight w:val="cyan"/>
                <w:vertAlign w:val="superscript"/>
              </w:rPr>
              <w:t>***</w:t>
            </w:r>
          </w:p>
        </w:tc>
      </w:tr>
      <w:tr w:rsidR="000E5759" w:rsidRPr="00C45975" w14:paraId="110797B8" w14:textId="77777777" w:rsidTr="00005463">
        <w:tc>
          <w:tcPr>
            <w:tcW w:w="1656" w:type="dxa"/>
            <w:tcBorders>
              <w:top w:val="nil"/>
              <w:left w:val="nil"/>
              <w:bottom w:val="single" w:sz="4" w:space="0" w:color="auto"/>
              <w:right w:val="nil"/>
            </w:tcBorders>
          </w:tcPr>
          <w:p w14:paraId="6052C895"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62E5EDDE"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(-18.23)</w:t>
            </w:r>
          </w:p>
        </w:tc>
        <w:tc>
          <w:tcPr>
            <w:tcW w:w="2016" w:type="dxa"/>
            <w:tcBorders>
              <w:top w:val="nil"/>
              <w:left w:val="nil"/>
              <w:bottom w:val="single" w:sz="4" w:space="0" w:color="auto"/>
              <w:right w:val="nil"/>
            </w:tcBorders>
          </w:tcPr>
          <w:p w14:paraId="29E35383"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(-88.82)</w:t>
            </w:r>
          </w:p>
        </w:tc>
      </w:tr>
      <w:tr w:rsidR="000E5759" w:rsidRPr="00C45975" w14:paraId="3AD79E7A" w14:textId="77777777" w:rsidTr="00005463">
        <w:tc>
          <w:tcPr>
            <w:tcW w:w="1656" w:type="dxa"/>
            <w:tcBorders>
              <w:top w:val="nil"/>
              <w:left w:val="nil"/>
              <w:bottom w:val="single" w:sz="4" w:space="0" w:color="auto"/>
              <w:right w:val="nil"/>
            </w:tcBorders>
          </w:tcPr>
          <w:p w14:paraId="6B541A20"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47B24E1"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393</w:t>
            </w:r>
          </w:p>
        </w:tc>
        <w:tc>
          <w:tcPr>
            <w:tcW w:w="2016" w:type="dxa"/>
            <w:tcBorders>
              <w:top w:val="nil"/>
              <w:left w:val="nil"/>
              <w:bottom w:val="single" w:sz="4" w:space="0" w:color="auto"/>
              <w:right w:val="nil"/>
            </w:tcBorders>
          </w:tcPr>
          <w:p w14:paraId="53428AE7"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393</w:t>
            </w:r>
          </w:p>
        </w:tc>
      </w:tr>
    </w:tbl>
    <w:p w14:paraId="7CE790FF" w14:textId="77777777" w:rsidR="000E5759" w:rsidRPr="00C45975" w:rsidRDefault="000E5759" w:rsidP="000E575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5AB28F4E" w14:textId="77777777" w:rsidR="000E5759" w:rsidRPr="00C45975" w:rsidRDefault="000E5759" w:rsidP="000E575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0E6E64" w:rsidRPr="00C45975" w14:paraId="5849D781" w14:textId="77777777" w:rsidTr="00005463">
        <w:tc>
          <w:tcPr>
            <w:tcW w:w="1656" w:type="dxa"/>
            <w:tcBorders>
              <w:top w:val="single" w:sz="4" w:space="0" w:color="auto"/>
              <w:left w:val="nil"/>
              <w:bottom w:val="nil"/>
              <w:right w:val="nil"/>
            </w:tcBorders>
          </w:tcPr>
          <w:p w14:paraId="3A4DD88C"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5779425B"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61F3928B"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E6E64" w:rsidRPr="00C45975" w14:paraId="68CC6069" w14:textId="77777777" w:rsidTr="00005463">
        <w:tc>
          <w:tcPr>
            <w:tcW w:w="1656" w:type="dxa"/>
            <w:tcBorders>
              <w:top w:val="nil"/>
              <w:left w:val="nil"/>
              <w:bottom w:val="nil"/>
              <w:right w:val="nil"/>
            </w:tcBorders>
          </w:tcPr>
          <w:p w14:paraId="23DD571E"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D63D8E9"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c>
          <w:tcPr>
            <w:tcW w:w="2016" w:type="dxa"/>
            <w:tcBorders>
              <w:top w:val="nil"/>
              <w:left w:val="nil"/>
              <w:bottom w:val="nil"/>
              <w:right w:val="nil"/>
            </w:tcBorders>
          </w:tcPr>
          <w:p w14:paraId="7A8559A1"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r>
      <w:tr w:rsidR="000E6E64" w:rsidRPr="00C45975" w14:paraId="4217FEAF" w14:textId="77777777" w:rsidTr="00005463">
        <w:tc>
          <w:tcPr>
            <w:tcW w:w="1656" w:type="dxa"/>
            <w:tcBorders>
              <w:top w:val="single" w:sz="4" w:space="0" w:color="auto"/>
              <w:left w:val="nil"/>
              <w:bottom w:val="nil"/>
              <w:right w:val="nil"/>
            </w:tcBorders>
          </w:tcPr>
          <w:p w14:paraId="039B7DC8"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7F3508C4"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-0.0385</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309E405D"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-0.0557</w:t>
            </w:r>
          </w:p>
        </w:tc>
      </w:tr>
      <w:tr w:rsidR="000E6E64" w:rsidRPr="00C45975" w14:paraId="7E18B672" w14:textId="77777777" w:rsidTr="00005463">
        <w:tc>
          <w:tcPr>
            <w:tcW w:w="1656" w:type="dxa"/>
            <w:tcBorders>
              <w:top w:val="nil"/>
              <w:left w:val="nil"/>
              <w:bottom w:val="nil"/>
              <w:right w:val="nil"/>
            </w:tcBorders>
          </w:tcPr>
          <w:p w14:paraId="2D9263AE"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406D776"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(-3.27)</w:t>
            </w:r>
          </w:p>
        </w:tc>
        <w:tc>
          <w:tcPr>
            <w:tcW w:w="2016" w:type="dxa"/>
            <w:tcBorders>
              <w:top w:val="nil"/>
              <w:left w:val="nil"/>
              <w:bottom w:val="nil"/>
              <w:right w:val="nil"/>
            </w:tcBorders>
          </w:tcPr>
          <w:p w14:paraId="7584AE1E"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(-1.42)</w:t>
            </w:r>
          </w:p>
        </w:tc>
      </w:tr>
      <w:tr w:rsidR="000E6E64" w:rsidRPr="00C45975" w14:paraId="0C7F7DAA" w14:textId="77777777" w:rsidTr="00005463">
        <w:tc>
          <w:tcPr>
            <w:tcW w:w="1656" w:type="dxa"/>
            <w:tcBorders>
              <w:top w:val="nil"/>
              <w:left w:val="nil"/>
              <w:bottom w:val="nil"/>
              <w:right w:val="nil"/>
            </w:tcBorders>
          </w:tcPr>
          <w:p w14:paraId="151C35DE"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64B4243"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03A0285"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E6E64" w:rsidRPr="00C45975" w14:paraId="2D192F37" w14:textId="77777777" w:rsidTr="00005463">
        <w:tc>
          <w:tcPr>
            <w:tcW w:w="1656" w:type="dxa"/>
            <w:tcBorders>
              <w:top w:val="nil"/>
              <w:left w:val="nil"/>
              <w:bottom w:val="nil"/>
              <w:right w:val="nil"/>
            </w:tcBorders>
          </w:tcPr>
          <w:p w14:paraId="120491F7"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546074D7"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-0.476</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136F3A38"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-0.355</w:t>
            </w:r>
          </w:p>
        </w:tc>
      </w:tr>
      <w:tr w:rsidR="000E6E64" w:rsidRPr="00C45975" w14:paraId="422F83B6" w14:textId="77777777" w:rsidTr="00005463">
        <w:tc>
          <w:tcPr>
            <w:tcW w:w="1656" w:type="dxa"/>
            <w:tcBorders>
              <w:top w:val="nil"/>
              <w:left w:val="nil"/>
              <w:bottom w:val="single" w:sz="4" w:space="0" w:color="auto"/>
              <w:right w:val="nil"/>
            </w:tcBorders>
          </w:tcPr>
          <w:p w14:paraId="3A3525A6"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23F234E3"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(-4.98)</w:t>
            </w:r>
          </w:p>
        </w:tc>
        <w:tc>
          <w:tcPr>
            <w:tcW w:w="2016" w:type="dxa"/>
            <w:tcBorders>
              <w:top w:val="nil"/>
              <w:left w:val="nil"/>
              <w:bottom w:val="single" w:sz="4" w:space="0" w:color="auto"/>
              <w:right w:val="nil"/>
            </w:tcBorders>
          </w:tcPr>
          <w:p w14:paraId="1DE3AB4E"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(-1.29)</w:t>
            </w:r>
          </w:p>
        </w:tc>
      </w:tr>
      <w:tr w:rsidR="000E6E64" w:rsidRPr="00C45975" w14:paraId="5849E2F0" w14:textId="77777777" w:rsidTr="00005463">
        <w:tc>
          <w:tcPr>
            <w:tcW w:w="1656" w:type="dxa"/>
            <w:tcBorders>
              <w:top w:val="nil"/>
              <w:left w:val="nil"/>
              <w:bottom w:val="single" w:sz="4" w:space="0" w:color="auto"/>
              <w:right w:val="nil"/>
            </w:tcBorders>
          </w:tcPr>
          <w:p w14:paraId="33DCB5AF"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3532C8E0"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368</w:t>
            </w:r>
          </w:p>
        </w:tc>
        <w:tc>
          <w:tcPr>
            <w:tcW w:w="2016" w:type="dxa"/>
            <w:tcBorders>
              <w:top w:val="nil"/>
              <w:left w:val="nil"/>
              <w:bottom w:val="single" w:sz="4" w:space="0" w:color="auto"/>
              <w:right w:val="nil"/>
            </w:tcBorders>
          </w:tcPr>
          <w:p w14:paraId="78510C18"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368</w:t>
            </w:r>
          </w:p>
        </w:tc>
      </w:tr>
    </w:tbl>
    <w:p w14:paraId="2593F285" w14:textId="77777777" w:rsidR="000E6E64" w:rsidRPr="00C45975" w:rsidRDefault="000E6E64" w:rsidP="000E6E6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37CBB048" w14:textId="77777777" w:rsidR="000E6E64" w:rsidRPr="00C45975" w:rsidRDefault="000E6E64" w:rsidP="000E6E6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1C369D70" w14:textId="77777777" w:rsidR="000E6E64" w:rsidRPr="00C45975" w:rsidRDefault="000E6E64" w:rsidP="000E6E64">
      <w:pPr>
        <w:widowControl w:val="0"/>
        <w:autoSpaceDE w:val="0"/>
        <w:autoSpaceDN w:val="0"/>
        <w:adjustRightInd w:val="0"/>
        <w:spacing w:after="0" w:line="240" w:lineRule="auto"/>
        <w:rPr>
          <w:rFonts w:ascii="Times New Roman" w:hAnsi="Times New Roman" w:cs="Times New Roman"/>
          <w:sz w:val="24"/>
          <w:szCs w:val="24"/>
          <w:highlight w:val="cyan"/>
        </w:rPr>
      </w:pPr>
    </w:p>
    <w:tbl>
      <w:tblPr>
        <w:tblW w:w="0" w:type="auto"/>
        <w:tblLayout w:type="fixed"/>
        <w:tblLook w:val="0000" w:firstRow="0" w:lastRow="0" w:firstColumn="0" w:lastColumn="0" w:noHBand="0" w:noVBand="0"/>
      </w:tblPr>
      <w:tblGrid>
        <w:gridCol w:w="1656"/>
        <w:gridCol w:w="2016"/>
        <w:gridCol w:w="2016"/>
      </w:tblGrid>
      <w:tr w:rsidR="006C252A" w:rsidRPr="00C45975" w14:paraId="3E2AAF66" w14:textId="77777777" w:rsidTr="00005463">
        <w:tc>
          <w:tcPr>
            <w:tcW w:w="1656" w:type="dxa"/>
            <w:tcBorders>
              <w:top w:val="single" w:sz="4" w:space="0" w:color="auto"/>
              <w:left w:val="nil"/>
              <w:bottom w:val="nil"/>
              <w:right w:val="nil"/>
            </w:tcBorders>
          </w:tcPr>
          <w:p w14:paraId="26F0AE02"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7A505080"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762D2D2B"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6C252A" w:rsidRPr="00C45975" w14:paraId="2E17311C" w14:textId="77777777" w:rsidTr="00005463">
        <w:tc>
          <w:tcPr>
            <w:tcW w:w="1656" w:type="dxa"/>
            <w:tcBorders>
              <w:top w:val="nil"/>
              <w:left w:val="nil"/>
              <w:bottom w:val="nil"/>
              <w:right w:val="nil"/>
            </w:tcBorders>
          </w:tcPr>
          <w:p w14:paraId="0697C1BC"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6F00F6F"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c>
          <w:tcPr>
            <w:tcW w:w="2016" w:type="dxa"/>
            <w:tcBorders>
              <w:top w:val="nil"/>
              <w:left w:val="nil"/>
              <w:bottom w:val="nil"/>
              <w:right w:val="nil"/>
            </w:tcBorders>
          </w:tcPr>
          <w:p w14:paraId="428CC966"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r>
      <w:tr w:rsidR="006C252A" w:rsidRPr="00C45975" w14:paraId="28B07E0B" w14:textId="77777777" w:rsidTr="00005463">
        <w:tc>
          <w:tcPr>
            <w:tcW w:w="1656" w:type="dxa"/>
            <w:tcBorders>
              <w:top w:val="single" w:sz="4" w:space="0" w:color="auto"/>
              <w:left w:val="nil"/>
              <w:bottom w:val="nil"/>
              <w:right w:val="nil"/>
            </w:tcBorders>
          </w:tcPr>
          <w:p w14:paraId="4AC3DDF5"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irregtd</w:t>
            </w:r>
            <w:proofErr w:type="spellEnd"/>
          </w:p>
        </w:tc>
        <w:tc>
          <w:tcPr>
            <w:tcW w:w="2016" w:type="dxa"/>
            <w:tcBorders>
              <w:top w:val="single" w:sz="4" w:space="0" w:color="auto"/>
              <w:left w:val="nil"/>
              <w:bottom w:val="nil"/>
              <w:right w:val="nil"/>
            </w:tcBorders>
          </w:tcPr>
          <w:p w14:paraId="5726D13A"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-0.0254</w:t>
            </w:r>
          </w:p>
        </w:tc>
        <w:tc>
          <w:tcPr>
            <w:tcW w:w="2016" w:type="dxa"/>
            <w:tcBorders>
              <w:top w:val="single" w:sz="4" w:space="0" w:color="auto"/>
              <w:left w:val="nil"/>
              <w:bottom w:val="nil"/>
              <w:right w:val="nil"/>
            </w:tcBorders>
          </w:tcPr>
          <w:p w14:paraId="07357404"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-0.0103</w:t>
            </w:r>
          </w:p>
        </w:tc>
      </w:tr>
      <w:tr w:rsidR="006C252A" w:rsidRPr="00C45975" w14:paraId="42837C94" w14:textId="77777777" w:rsidTr="00005463">
        <w:tc>
          <w:tcPr>
            <w:tcW w:w="1656" w:type="dxa"/>
            <w:tcBorders>
              <w:top w:val="nil"/>
              <w:left w:val="nil"/>
              <w:bottom w:val="nil"/>
              <w:right w:val="nil"/>
            </w:tcBorders>
          </w:tcPr>
          <w:p w14:paraId="15E03581"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571509B"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(-0.44)</w:t>
            </w:r>
          </w:p>
        </w:tc>
        <w:tc>
          <w:tcPr>
            <w:tcW w:w="2016" w:type="dxa"/>
            <w:tcBorders>
              <w:top w:val="nil"/>
              <w:left w:val="nil"/>
              <w:bottom w:val="nil"/>
              <w:right w:val="nil"/>
            </w:tcBorders>
          </w:tcPr>
          <w:p w14:paraId="772E33BB"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(-0.31)</w:t>
            </w:r>
          </w:p>
        </w:tc>
      </w:tr>
      <w:tr w:rsidR="006C252A" w:rsidRPr="00C45975" w14:paraId="27225135" w14:textId="77777777" w:rsidTr="00005463">
        <w:tc>
          <w:tcPr>
            <w:tcW w:w="1656" w:type="dxa"/>
            <w:tcBorders>
              <w:top w:val="nil"/>
              <w:left w:val="nil"/>
              <w:bottom w:val="nil"/>
              <w:right w:val="nil"/>
            </w:tcBorders>
          </w:tcPr>
          <w:p w14:paraId="494F061E"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7AA8A42"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486EC40"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6C252A" w:rsidRPr="00C45975" w14:paraId="2494DF56" w14:textId="77777777" w:rsidTr="00005463">
        <w:tc>
          <w:tcPr>
            <w:tcW w:w="1656" w:type="dxa"/>
            <w:tcBorders>
              <w:top w:val="nil"/>
              <w:left w:val="nil"/>
              <w:bottom w:val="nil"/>
              <w:right w:val="nil"/>
            </w:tcBorders>
          </w:tcPr>
          <w:p w14:paraId="6A921EB1"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02B04E3C"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0.437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0B616C8"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0.435</w:t>
            </w:r>
            <w:r w:rsidRPr="00C45975">
              <w:rPr>
                <w:rFonts w:ascii="Times New Roman" w:hAnsi="Times New Roman" w:cs="Times New Roman"/>
                <w:sz w:val="24"/>
                <w:szCs w:val="24"/>
                <w:highlight w:val="cyan"/>
                <w:vertAlign w:val="superscript"/>
              </w:rPr>
              <w:t>***</w:t>
            </w:r>
          </w:p>
        </w:tc>
      </w:tr>
      <w:tr w:rsidR="006C252A" w:rsidRPr="00C45975" w14:paraId="2A06206F" w14:textId="77777777" w:rsidTr="00005463">
        <w:tc>
          <w:tcPr>
            <w:tcW w:w="1656" w:type="dxa"/>
            <w:tcBorders>
              <w:top w:val="nil"/>
              <w:left w:val="nil"/>
              <w:bottom w:val="single" w:sz="4" w:space="0" w:color="auto"/>
              <w:right w:val="nil"/>
            </w:tcBorders>
          </w:tcPr>
          <w:p w14:paraId="7E48A734"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443623D"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(19.69)</w:t>
            </w:r>
          </w:p>
        </w:tc>
        <w:tc>
          <w:tcPr>
            <w:tcW w:w="2016" w:type="dxa"/>
            <w:tcBorders>
              <w:top w:val="nil"/>
              <w:left w:val="nil"/>
              <w:bottom w:val="single" w:sz="4" w:space="0" w:color="auto"/>
              <w:right w:val="nil"/>
            </w:tcBorders>
          </w:tcPr>
          <w:p w14:paraId="681C8ACF"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(91.39)</w:t>
            </w:r>
          </w:p>
        </w:tc>
      </w:tr>
      <w:tr w:rsidR="006C252A" w:rsidRPr="00C45975" w14:paraId="4926AD79" w14:textId="77777777" w:rsidTr="00005463">
        <w:tc>
          <w:tcPr>
            <w:tcW w:w="1656" w:type="dxa"/>
            <w:tcBorders>
              <w:top w:val="nil"/>
              <w:left w:val="nil"/>
              <w:bottom w:val="single" w:sz="4" w:space="0" w:color="auto"/>
              <w:right w:val="nil"/>
            </w:tcBorders>
          </w:tcPr>
          <w:p w14:paraId="4817181E"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39050FEA"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586</w:t>
            </w:r>
          </w:p>
        </w:tc>
        <w:tc>
          <w:tcPr>
            <w:tcW w:w="2016" w:type="dxa"/>
            <w:tcBorders>
              <w:top w:val="nil"/>
              <w:left w:val="nil"/>
              <w:bottom w:val="single" w:sz="4" w:space="0" w:color="auto"/>
              <w:right w:val="nil"/>
            </w:tcBorders>
          </w:tcPr>
          <w:p w14:paraId="124055C2"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586</w:t>
            </w:r>
          </w:p>
        </w:tc>
      </w:tr>
    </w:tbl>
    <w:p w14:paraId="6BD9C50F" w14:textId="77777777" w:rsidR="006C252A" w:rsidRPr="00C45975" w:rsidRDefault="006C252A" w:rsidP="006C252A">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1C69C2F1" w14:textId="77777777" w:rsidR="006C252A" w:rsidRPr="00C45975" w:rsidRDefault="006C252A" w:rsidP="006C252A">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E70CAA" w:rsidRPr="00C45975" w14:paraId="7637BB2E" w14:textId="77777777" w:rsidTr="00005463">
        <w:tc>
          <w:tcPr>
            <w:tcW w:w="1656" w:type="dxa"/>
            <w:tcBorders>
              <w:top w:val="single" w:sz="4" w:space="0" w:color="auto"/>
              <w:left w:val="nil"/>
              <w:bottom w:val="nil"/>
              <w:right w:val="nil"/>
            </w:tcBorders>
          </w:tcPr>
          <w:p w14:paraId="2A5AB4AF"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74D26B1F"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7648464"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E70CAA" w:rsidRPr="00C45975" w14:paraId="27FC3ACA" w14:textId="77777777" w:rsidTr="00005463">
        <w:tc>
          <w:tcPr>
            <w:tcW w:w="1656" w:type="dxa"/>
            <w:tcBorders>
              <w:top w:val="nil"/>
              <w:left w:val="nil"/>
              <w:bottom w:val="nil"/>
              <w:right w:val="nil"/>
            </w:tcBorders>
          </w:tcPr>
          <w:p w14:paraId="5314BF28"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DF64DA7"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c>
          <w:tcPr>
            <w:tcW w:w="2016" w:type="dxa"/>
            <w:tcBorders>
              <w:top w:val="nil"/>
              <w:left w:val="nil"/>
              <w:bottom w:val="nil"/>
              <w:right w:val="nil"/>
            </w:tcBorders>
          </w:tcPr>
          <w:p w14:paraId="4D0DDDA1"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r>
      <w:tr w:rsidR="00E70CAA" w:rsidRPr="00C45975" w14:paraId="453E2A36" w14:textId="77777777" w:rsidTr="00005463">
        <w:tc>
          <w:tcPr>
            <w:tcW w:w="1656" w:type="dxa"/>
            <w:tcBorders>
              <w:top w:val="single" w:sz="4" w:space="0" w:color="auto"/>
              <w:left w:val="nil"/>
              <w:bottom w:val="nil"/>
              <w:right w:val="nil"/>
            </w:tcBorders>
          </w:tcPr>
          <w:p w14:paraId="12680DEF"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3CEB464B"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0.00533</w:t>
            </w:r>
          </w:p>
        </w:tc>
        <w:tc>
          <w:tcPr>
            <w:tcW w:w="2016" w:type="dxa"/>
            <w:tcBorders>
              <w:top w:val="single" w:sz="4" w:space="0" w:color="auto"/>
              <w:left w:val="nil"/>
              <w:bottom w:val="nil"/>
              <w:right w:val="nil"/>
            </w:tcBorders>
          </w:tcPr>
          <w:p w14:paraId="28F47521"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-0.000720</w:t>
            </w:r>
          </w:p>
        </w:tc>
      </w:tr>
      <w:tr w:rsidR="00E70CAA" w:rsidRPr="00C45975" w14:paraId="2758872C" w14:textId="77777777" w:rsidTr="00005463">
        <w:tc>
          <w:tcPr>
            <w:tcW w:w="1656" w:type="dxa"/>
            <w:tcBorders>
              <w:top w:val="nil"/>
              <w:left w:val="nil"/>
              <w:bottom w:val="nil"/>
              <w:right w:val="nil"/>
            </w:tcBorders>
          </w:tcPr>
          <w:p w14:paraId="7CE62E6F"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59049D8"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(1.10)</w:t>
            </w:r>
          </w:p>
        </w:tc>
        <w:tc>
          <w:tcPr>
            <w:tcW w:w="2016" w:type="dxa"/>
            <w:tcBorders>
              <w:top w:val="nil"/>
              <w:left w:val="nil"/>
              <w:bottom w:val="nil"/>
              <w:right w:val="nil"/>
            </w:tcBorders>
          </w:tcPr>
          <w:p w14:paraId="2B6D9E24"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(-0.08)</w:t>
            </w:r>
          </w:p>
        </w:tc>
      </w:tr>
      <w:tr w:rsidR="00E70CAA" w:rsidRPr="00C45975" w14:paraId="3D7F8210" w14:textId="77777777" w:rsidTr="00005463">
        <w:tc>
          <w:tcPr>
            <w:tcW w:w="1656" w:type="dxa"/>
            <w:tcBorders>
              <w:top w:val="nil"/>
              <w:left w:val="nil"/>
              <w:bottom w:val="nil"/>
              <w:right w:val="nil"/>
            </w:tcBorders>
          </w:tcPr>
          <w:p w14:paraId="0A467064"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B5251CB"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018ABB1"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E70CAA" w:rsidRPr="00C45975" w14:paraId="7A93667A" w14:textId="77777777" w:rsidTr="00005463">
        <w:tc>
          <w:tcPr>
            <w:tcW w:w="1656" w:type="dxa"/>
            <w:tcBorders>
              <w:top w:val="nil"/>
              <w:left w:val="nil"/>
              <w:bottom w:val="nil"/>
              <w:right w:val="nil"/>
            </w:tcBorders>
          </w:tcPr>
          <w:p w14:paraId="5FAD74B4"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1C6315E1"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0.387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204B0F37"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0.433</w:t>
            </w:r>
            <w:r w:rsidRPr="00C45975">
              <w:rPr>
                <w:rFonts w:ascii="Times New Roman" w:hAnsi="Times New Roman" w:cs="Times New Roman"/>
                <w:sz w:val="24"/>
                <w:szCs w:val="24"/>
                <w:highlight w:val="cyan"/>
                <w:vertAlign w:val="superscript"/>
              </w:rPr>
              <w:t>***</w:t>
            </w:r>
          </w:p>
        </w:tc>
      </w:tr>
      <w:tr w:rsidR="00E70CAA" w:rsidRPr="00C45975" w14:paraId="62718612" w14:textId="77777777" w:rsidTr="00005463">
        <w:tc>
          <w:tcPr>
            <w:tcW w:w="1656" w:type="dxa"/>
            <w:tcBorders>
              <w:top w:val="nil"/>
              <w:left w:val="nil"/>
              <w:bottom w:val="single" w:sz="4" w:space="0" w:color="auto"/>
              <w:right w:val="nil"/>
            </w:tcBorders>
          </w:tcPr>
          <w:p w14:paraId="03CF4AB0"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270F8DC"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(9.32)</w:t>
            </w:r>
          </w:p>
        </w:tc>
        <w:tc>
          <w:tcPr>
            <w:tcW w:w="2016" w:type="dxa"/>
            <w:tcBorders>
              <w:top w:val="nil"/>
              <w:left w:val="nil"/>
              <w:bottom w:val="single" w:sz="4" w:space="0" w:color="auto"/>
              <w:right w:val="nil"/>
            </w:tcBorders>
          </w:tcPr>
          <w:p w14:paraId="0307EF3C"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(6.10)</w:t>
            </w:r>
          </w:p>
        </w:tc>
      </w:tr>
      <w:tr w:rsidR="00E70CAA" w:rsidRPr="00C45975" w14:paraId="447EA323" w14:textId="77777777" w:rsidTr="00005463">
        <w:tc>
          <w:tcPr>
            <w:tcW w:w="1656" w:type="dxa"/>
            <w:tcBorders>
              <w:top w:val="nil"/>
              <w:left w:val="nil"/>
              <w:bottom w:val="single" w:sz="4" w:space="0" w:color="auto"/>
              <w:right w:val="nil"/>
            </w:tcBorders>
          </w:tcPr>
          <w:p w14:paraId="38314000"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54711A36"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625</w:t>
            </w:r>
          </w:p>
        </w:tc>
        <w:tc>
          <w:tcPr>
            <w:tcW w:w="2016" w:type="dxa"/>
            <w:tcBorders>
              <w:top w:val="nil"/>
              <w:left w:val="nil"/>
              <w:bottom w:val="single" w:sz="4" w:space="0" w:color="auto"/>
              <w:right w:val="nil"/>
            </w:tcBorders>
          </w:tcPr>
          <w:p w14:paraId="12077E22"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625</w:t>
            </w:r>
          </w:p>
        </w:tc>
      </w:tr>
    </w:tbl>
    <w:p w14:paraId="494545D0" w14:textId="77777777" w:rsidR="00E70CAA" w:rsidRPr="00C45975" w:rsidRDefault="00E70CAA" w:rsidP="00E70CAA">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01941D13" w14:textId="77777777" w:rsidR="00E70CAA" w:rsidRPr="00C45975" w:rsidRDefault="00E70CAA" w:rsidP="00E70CAA">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24947861" w14:textId="77777777" w:rsidR="00E06BA4" w:rsidRPr="00C45975" w:rsidRDefault="00E06BA4" w:rsidP="00BF3A2C">
      <w:pPr>
        <w:rPr>
          <w:highlight w:val="cyan"/>
        </w:rPr>
      </w:pPr>
    </w:p>
    <w:p w14:paraId="259FD038" w14:textId="341B7E8D" w:rsidR="00E70CAA" w:rsidRDefault="00026F25" w:rsidP="00BF3A2C">
      <w:r w:rsidRPr="00C45975">
        <w:rPr>
          <w:highlight w:val="cyan"/>
        </w:rPr>
        <w:t>Hypothesized democratic indicators do not appear to have an impact on significance of regressions, which in fact decreases.</w:t>
      </w:r>
    </w:p>
    <w:p w14:paraId="27DE2B46" w14:textId="7061E165" w:rsidR="00A96197" w:rsidRDefault="00A96197" w:rsidP="00D64175">
      <w:pPr>
        <w:rPr>
          <w:lang w:val="en-GB"/>
        </w:rPr>
      </w:pPr>
      <w:r>
        <w:rPr>
          <w:lang w:val="en-GB"/>
        </w:rPr>
        <w:t>The results above</w:t>
      </w:r>
      <w:r w:rsidR="00B62FD1">
        <w:rPr>
          <w:lang w:val="en-GB"/>
        </w:rPr>
        <w:t xml:space="preserve">, particularly for de facto central bank independence, which generally show that </w:t>
      </w:r>
      <w:r w:rsidR="0040228B">
        <w:rPr>
          <w:lang w:val="en-GB"/>
        </w:rPr>
        <w:t xml:space="preserve">lower </w:t>
      </w:r>
      <w:r w:rsidR="00A97F29">
        <w:rPr>
          <w:lang w:val="en-GB"/>
        </w:rPr>
        <w:t xml:space="preserve">de facto independence </w:t>
      </w:r>
      <w:r w:rsidR="0040228B">
        <w:rPr>
          <w:lang w:val="en-GB"/>
        </w:rPr>
        <w:t xml:space="preserve">in terms of more changes </w:t>
      </w:r>
      <w:r w:rsidR="00D30534">
        <w:rPr>
          <w:lang w:val="en-GB"/>
        </w:rPr>
        <w:t>in central bank governors</w:t>
      </w:r>
      <w:r w:rsidR="005912FA">
        <w:rPr>
          <w:lang w:val="en-GB"/>
        </w:rPr>
        <w:t xml:space="preserve"> are related to more changes in heads of state and government, are not particularly instructive in the cas</w:t>
      </w:r>
      <w:r w:rsidR="005532EB">
        <w:rPr>
          <w:lang w:val="en-GB"/>
        </w:rPr>
        <w:t xml:space="preserve">e of </w:t>
      </w:r>
      <w:r w:rsidR="00DA2AD1">
        <w:rPr>
          <w:lang w:val="en-GB"/>
        </w:rPr>
        <w:t xml:space="preserve">endogeneity- perhaps </w:t>
      </w:r>
      <w:r w:rsidR="00275A76">
        <w:rPr>
          <w:lang w:val="en-GB"/>
        </w:rPr>
        <w:t xml:space="preserve">newly elected or insecure </w:t>
      </w:r>
      <w:r w:rsidR="00C64D10">
        <w:rPr>
          <w:lang w:val="en-GB"/>
        </w:rPr>
        <w:t>politicians fire central bankers</w:t>
      </w:r>
      <w:r w:rsidR="005532EB">
        <w:rPr>
          <w:lang w:val="en-GB"/>
        </w:rPr>
        <w:t xml:space="preserve">. </w:t>
      </w:r>
      <w:r w:rsidR="00DA2AD1">
        <w:rPr>
          <w:lang w:val="en-GB"/>
        </w:rPr>
        <w:t xml:space="preserve">In these situations, the use of lags and instrumental variables </w:t>
      </w:r>
      <w:r w:rsidR="00136B30">
        <w:rPr>
          <w:lang w:val="en-GB"/>
        </w:rPr>
        <w:t xml:space="preserve">can </w:t>
      </w:r>
      <w:r w:rsidR="00042182">
        <w:rPr>
          <w:lang w:val="en-GB"/>
        </w:rPr>
        <w:t>prove helpful.</w:t>
      </w:r>
    </w:p>
    <w:p w14:paraId="5597FACE" w14:textId="707310A1" w:rsidR="00543C0B" w:rsidRDefault="00DA1ADC" w:rsidP="00D64175">
      <w:pPr>
        <w:rPr>
          <w:lang w:val="en-GB"/>
        </w:rPr>
      </w:pPr>
      <w:r>
        <w:rPr>
          <w:lang w:val="en-GB"/>
        </w:rPr>
        <w:lastRenderedPageBreak/>
        <w:t xml:space="preserve">The significant results for </w:t>
      </w:r>
      <w:r w:rsidR="00FD29A6">
        <w:rPr>
          <w:lang w:val="en-GB"/>
        </w:rPr>
        <w:t>the</w:t>
      </w:r>
      <w:r>
        <w:rPr>
          <w:lang w:val="en-GB"/>
        </w:rPr>
        <w:t xml:space="preserve"> instruments of </w:t>
      </w:r>
      <w:r w:rsidR="00FD29A6">
        <w:rPr>
          <w:lang w:val="en-GB"/>
        </w:rPr>
        <w:t>tertiary education enrolment rates for central bank independence and aggregate GDP for fixed exchange rates are given below.</w:t>
      </w:r>
      <w:r w:rsidR="00D40EDF">
        <w:rPr>
          <w:lang w:val="en-GB"/>
        </w:rPr>
        <w:t xml:space="preserve"> </w:t>
      </w:r>
      <w:r w:rsidR="00EC4A6F">
        <w:rPr>
          <w:lang w:val="en-GB"/>
        </w:rPr>
        <w:t>Given current analysis with limited data, the</w:t>
      </w:r>
      <w:r w:rsidR="00E515AE">
        <w:rPr>
          <w:lang w:val="en-GB"/>
        </w:rPr>
        <w:t xml:space="preserve"> most significant </w:t>
      </w:r>
      <w:r w:rsidR="00EC4A6F">
        <w:rPr>
          <w:lang w:val="en-GB"/>
        </w:rPr>
        <w:t>results are found for political instability measures.</w:t>
      </w:r>
      <w:r w:rsidR="00776EBB">
        <w:rPr>
          <w:lang w:val="en-GB"/>
        </w:rPr>
        <w:t xml:space="preserve"> </w:t>
      </w:r>
      <w:r w:rsidR="00543C0B">
        <w:rPr>
          <w:lang w:val="en-GB"/>
        </w:rPr>
        <w:t>De</w:t>
      </w:r>
      <w:r w:rsidR="00776EBB">
        <w:rPr>
          <w:lang w:val="en-GB"/>
        </w:rPr>
        <w:t xml:space="preserve"> jure independence</w:t>
      </w:r>
      <w:r w:rsidR="00C375EA">
        <w:rPr>
          <w:lang w:val="en-GB"/>
        </w:rPr>
        <w:t xml:space="preserve"> increases the likelihood of </w:t>
      </w:r>
      <w:r w:rsidR="00FA1A35">
        <w:rPr>
          <w:lang w:val="en-GB"/>
        </w:rPr>
        <w:t>a destabilizing event</w:t>
      </w:r>
      <w:r w:rsidR="00D61758">
        <w:rPr>
          <w:lang w:val="en-GB"/>
        </w:rPr>
        <w:t xml:space="preserve"> </w:t>
      </w:r>
      <w:r w:rsidR="00D61758" w:rsidRPr="005A0834">
        <w:rPr>
          <w:highlight w:val="yellow"/>
          <w:lang w:val="en-GB"/>
        </w:rPr>
        <w:t>but improves scores on the world bank index</w:t>
      </w:r>
      <w:r w:rsidR="005A0834" w:rsidRPr="005A0834">
        <w:rPr>
          <w:highlight w:val="yellow"/>
          <w:lang w:val="en-GB"/>
        </w:rPr>
        <w:t xml:space="preserve"> (check this result, the coefficient is implausibly large)</w:t>
      </w:r>
      <w:r w:rsidR="00D61758" w:rsidRPr="005A0834">
        <w:rPr>
          <w:highlight w:val="yellow"/>
          <w:lang w:val="en-GB"/>
        </w:rPr>
        <w:t>.</w:t>
      </w:r>
      <w:r w:rsidR="007B24EA">
        <w:rPr>
          <w:lang w:val="en-GB"/>
        </w:rPr>
        <w:t xml:space="preserve"> </w:t>
      </w:r>
      <w:r w:rsidR="00543C0B">
        <w:rPr>
          <w:lang w:val="en-GB"/>
        </w:rPr>
        <w:t xml:space="preserve">A fixed exchange rate increases both political stability in terms of the world bank index and electoral stability in terms of </w:t>
      </w:r>
      <w:r w:rsidR="001E18F3">
        <w:rPr>
          <w:lang w:val="en-GB"/>
        </w:rPr>
        <w:t xml:space="preserve">reducing </w:t>
      </w:r>
      <w:r w:rsidR="00602E04">
        <w:rPr>
          <w:lang w:val="en-GB"/>
        </w:rPr>
        <w:t>turnover in control of the lower chamber.</w:t>
      </w:r>
      <w:r w:rsidR="00F65A61">
        <w:rPr>
          <w:lang w:val="en-GB"/>
        </w:rPr>
        <w:t xml:space="preserve"> IV results </w:t>
      </w:r>
      <w:r w:rsidR="00453C7D">
        <w:rPr>
          <w:lang w:val="en-GB"/>
        </w:rPr>
        <w:t>generally reiterate the c</w:t>
      </w:r>
      <w:r w:rsidR="00A6393E">
        <w:rPr>
          <w:lang w:val="en-GB"/>
        </w:rPr>
        <w:t xml:space="preserve">laims made earlier- de jure independence </w:t>
      </w:r>
      <w:r w:rsidR="00600F56">
        <w:rPr>
          <w:lang w:val="en-GB"/>
        </w:rPr>
        <w:t>decreases instability, perhaps in a political business cycle style manner, while fixed rates</w:t>
      </w:r>
      <w:r w:rsidR="0047253D">
        <w:rPr>
          <w:lang w:val="en-GB"/>
        </w:rPr>
        <w:t xml:space="preserve"> improve stability in a more welfare-based </w:t>
      </w:r>
      <w:r w:rsidR="009C66BC">
        <w:rPr>
          <w:lang w:val="en-GB"/>
        </w:rPr>
        <w:t>case.</w:t>
      </w:r>
    </w:p>
    <w:p w14:paraId="00FDD429" w14:textId="12A050B7" w:rsidR="008F0ED0" w:rsidRDefault="00885F8C" w:rsidP="00D64175">
      <w:pPr>
        <w:rPr>
          <w:lang w:val="en-GB"/>
        </w:rPr>
      </w:pPr>
      <w:r>
        <w:rPr>
          <w:lang w:val="en-GB"/>
        </w:rPr>
        <w:t xml:space="preserve">It should be noted that </w:t>
      </w:r>
      <w:r w:rsidR="008668A6">
        <w:rPr>
          <w:lang w:val="en-GB"/>
        </w:rPr>
        <w:t>for these analyses of political instability, the cases for exclusion restrictions are particularly weak.</w:t>
      </w:r>
      <w:r w:rsidR="00B77270">
        <w:rPr>
          <w:lang w:val="en-GB"/>
        </w:rPr>
        <w:t xml:space="preserve"> Other links between </w:t>
      </w:r>
      <w:r w:rsidR="005C2BAE">
        <w:rPr>
          <w:lang w:val="en-GB"/>
        </w:rPr>
        <w:t>tertiary education completion and political instability and aggregate GDP and political instability are very much possible.</w:t>
      </w:r>
      <w:r w:rsidR="006E1A93">
        <w:rPr>
          <w:lang w:val="en-GB"/>
        </w:rPr>
        <w:t xml:space="preserve"> </w:t>
      </w:r>
      <w:r w:rsidR="006E1A93" w:rsidRPr="00702350">
        <w:rPr>
          <w:highlight w:val="yellow"/>
          <w:lang w:val="en-GB"/>
        </w:rPr>
        <w:t>In future, effort will be made to instead use the social science and business graduate instrument for central bank independence</w:t>
      </w:r>
      <w:r w:rsidR="00702350" w:rsidRPr="00702350">
        <w:rPr>
          <w:highlight w:val="yellow"/>
          <w:lang w:val="en-GB"/>
        </w:rPr>
        <w:t>, pending data availability</w:t>
      </w:r>
      <w:r w:rsidR="006E1A93" w:rsidRPr="00702350">
        <w:rPr>
          <w:highlight w:val="yellow"/>
          <w:lang w:val="en-GB"/>
        </w:rPr>
        <w:t>.</w:t>
      </w:r>
    </w:p>
    <w:tbl>
      <w:tblPr>
        <w:tblW w:w="0" w:type="auto"/>
        <w:tblLayout w:type="fixed"/>
        <w:tblLook w:val="0000" w:firstRow="0" w:lastRow="0" w:firstColumn="0" w:lastColumn="0" w:noHBand="0" w:noVBand="0"/>
      </w:tblPr>
      <w:tblGrid>
        <w:gridCol w:w="1656"/>
        <w:gridCol w:w="2016"/>
      </w:tblGrid>
      <w:tr w:rsidR="00BB10B9" w14:paraId="61BF18C4" w14:textId="77777777" w:rsidTr="00005463">
        <w:tc>
          <w:tcPr>
            <w:tcW w:w="1656" w:type="dxa"/>
            <w:tcBorders>
              <w:top w:val="single" w:sz="4" w:space="0" w:color="auto"/>
              <w:left w:val="nil"/>
              <w:bottom w:val="nil"/>
              <w:right w:val="nil"/>
            </w:tcBorders>
          </w:tcPr>
          <w:p w14:paraId="6EEBAA1B"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61E9CF35"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10B9" w14:paraId="19527A55" w14:textId="77777777" w:rsidTr="00005463">
        <w:tc>
          <w:tcPr>
            <w:tcW w:w="1656" w:type="dxa"/>
            <w:tcBorders>
              <w:top w:val="nil"/>
              <w:left w:val="nil"/>
              <w:bottom w:val="nil"/>
              <w:right w:val="nil"/>
            </w:tcBorders>
          </w:tcPr>
          <w:p w14:paraId="7B260259"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3506CA"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r>
      <w:tr w:rsidR="00BB10B9" w14:paraId="22D349AC" w14:textId="77777777" w:rsidTr="00005463">
        <w:tc>
          <w:tcPr>
            <w:tcW w:w="1656" w:type="dxa"/>
            <w:tcBorders>
              <w:top w:val="single" w:sz="4" w:space="0" w:color="auto"/>
              <w:left w:val="nil"/>
              <w:bottom w:val="nil"/>
              <w:right w:val="nil"/>
            </w:tcBorders>
          </w:tcPr>
          <w:p w14:paraId="0C2BC79A"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069525AE"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1.094</w:t>
            </w:r>
            <w:r>
              <w:rPr>
                <w:rFonts w:ascii="Times New Roman" w:hAnsi="Times New Roman" w:cs="Times New Roman"/>
                <w:sz w:val="24"/>
                <w:szCs w:val="24"/>
                <w:vertAlign w:val="superscript"/>
              </w:rPr>
              <w:t>***</w:t>
            </w:r>
          </w:p>
        </w:tc>
      </w:tr>
      <w:tr w:rsidR="00BB10B9" w14:paraId="456A02B4" w14:textId="77777777" w:rsidTr="00005463">
        <w:tc>
          <w:tcPr>
            <w:tcW w:w="1656" w:type="dxa"/>
            <w:tcBorders>
              <w:top w:val="nil"/>
              <w:left w:val="nil"/>
              <w:bottom w:val="nil"/>
              <w:right w:val="nil"/>
            </w:tcBorders>
          </w:tcPr>
          <w:p w14:paraId="1EBE0D93"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1B7BD1"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(6.49)</w:t>
            </w:r>
          </w:p>
        </w:tc>
      </w:tr>
      <w:tr w:rsidR="00BB10B9" w14:paraId="41969D81" w14:textId="77777777" w:rsidTr="00005463">
        <w:tc>
          <w:tcPr>
            <w:tcW w:w="1656" w:type="dxa"/>
            <w:tcBorders>
              <w:top w:val="nil"/>
              <w:left w:val="nil"/>
              <w:bottom w:val="nil"/>
              <w:right w:val="nil"/>
            </w:tcBorders>
          </w:tcPr>
          <w:p w14:paraId="0EF67DF3"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14A7C7D"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r>
      <w:tr w:rsidR="00BB10B9" w14:paraId="0EF0B7B7" w14:textId="77777777" w:rsidTr="00005463">
        <w:tc>
          <w:tcPr>
            <w:tcW w:w="1656" w:type="dxa"/>
            <w:tcBorders>
              <w:top w:val="nil"/>
              <w:left w:val="nil"/>
              <w:bottom w:val="nil"/>
              <w:right w:val="nil"/>
            </w:tcBorders>
          </w:tcPr>
          <w:p w14:paraId="4A252C63"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0F24B998"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-0.110</w:t>
            </w:r>
          </w:p>
        </w:tc>
      </w:tr>
      <w:tr w:rsidR="00BB10B9" w14:paraId="32BF3FC6" w14:textId="77777777" w:rsidTr="00005463">
        <w:tc>
          <w:tcPr>
            <w:tcW w:w="1656" w:type="dxa"/>
            <w:tcBorders>
              <w:top w:val="nil"/>
              <w:left w:val="nil"/>
              <w:bottom w:val="single" w:sz="4" w:space="0" w:color="auto"/>
              <w:right w:val="nil"/>
            </w:tcBorders>
          </w:tcPr>
          <w:p w14:paraId="43C4A380"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69C12BEE"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BB10B9" w14:paraId="413B213B" w14:textId="77777777" w:rsidTr="00005463">
        <w:tc>
          <w:tcPr>
            <w:tcW w:w="1656" w:type="dxa"/>
            <w:tcBorders>
              <w:top w:val="nil"/>
              <w:left w:val="nil"/>
              <w:bottom w:val="single" w:sz="4" w:space="0" w:color="auto"/>
              <w:right w:val="nil"/>
            </w:tcBorders>
          </w:tcPr>
          <w:p w14:paraId="6DFE6180"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52EF4BC8"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3155</w:t>
            </w:r>
          </w:p>
        </w:tc>
      </w:tr>
    </w:tbl>
    <w:p w14:paraId="1476ABA7" w14:textId="77777777" w:rsidR="00BB10B9" w:rsidRDefault="00BB10B9" w:rsidP="00BB10B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7A3E9A1" w14:textId="77777777" w:rsidR="00BB10B9" w:rsidRDefault="00BB10B9" w:rsidP="00BB10B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4B91BAC" w14:textId="77777777" w:rsidR="00A67B03" w:rsidRDefault="00A67B03" w:rsidP="00D64175">
      <w:pPr>
        <w:rPr>
          <w:lang w:val="en-GB"/>
        </w:rPr>
      </w:pPr>
    </w:p>
    <w:tbl>
      <w:tblPr>
        <w:tblW w:w="0" w:type="auto"/>
        <w:tblLayout w:type="fixed"/>
        <w:tblLook w:val="0000" w:firstRow="0" w:lastRow="0" w:firstColumn="0" w:lastColumn="0" w:noHBand="0" w:noVBand="0"/>
      </w:tblPr>
      <w:tblGrid>
        <w:gridCol w:w="1656"/>
        <w:gridCol w:w="2016"/>
      </w:tblGrid>
      <w:tr w:rsidR="004C1A69" w14:paraId="4B698F4D" w14:textId="77777777" w:rsidTr="00005463">
        <w:tc>
          <w:tcPr>
            <w:tcW w:w="1656" w:type="dxa"/>
            <w:tcBorders>
              <w:top w:val="single" w:sz="4" w:space="0" w:color="auto"/>
              <w:left w:val="nil"/>
              <w:bottom w:val="nil"/>
              <w:right w:val="nil"/>
            </w:tcBorders>
          </w:tcPr>
          <w:p w14:paraId="1E82FCD5"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22A4A1A"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C1A69" w14:paraId="18DE395D" w14:textId="77777777" w:rsidTr="00005463">
        <w:tc>
          <w:tcPr>
            <w:tcW w:w="1656" w:type="dxa"/>
            <w:tcBorders>
              <w:top w:val="nil"/>
              <w:left w:val="nil"/>
              <w:bottom w:val="nil"/>
              <w:right w:val="nil"/>
            </w:tcBorders>
          </w:tcPr>
          <w:p w14:paraId="2BAB5E3B"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84ACE6E"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4C1A69" w14:paraId="6FA7F34D" w14:textId="77777777" w:rsidTr="00005463">
        <w:tc>
          <w:tcPr>
            <w:tcW w:w="1656" w:type="dxa"/>
            <w:tcBorders>
              <w:top w:val="single" w:sz="4" w:space="0" w:color="auto"/>
              <w:left w:val="nil"/>
              <w:bottom w:val="nil"/>
              <w:right w:val="nil"/>
            </w:tcBorders>
          </w:tcPr>
          <w:p w14:paraId="204B71BD"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0957280B"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12.74</w:t>
            </w:r>
            <w:r>
              <w:rPr>
                <w:rFonts w:ascii="Times New Roman" w:hAnsi="Times New Roman" w:cs="Times New Roman"/>
                <w:sz w:val="24"/>
                <w:szCs w:val="24"/>
                <w:vertAlign w:val="superscript"/>
              </w:rPr>
              <w:t>***</w:t>
            </w:r>
          </w:p>
        </w:tc>
      </w:tr>
      <w:tr w:rsidR="004C1A69" w14:paraId="4048BB39" w14:textId="77777777" w:rsidTr="00005463">
        <w:tc>
          <w:tcPr>
            <w:tcW w:w="1656" w:type="dxa"/>
            <w:tcBorders>
              <w:top w:val="nil"/>
              <w:left w:val="nil"/>
              <w:bottom w:val="nil"/>
              <w:right w:val="nil"/>
            </w:tcBorders>
          </w:tcPr>
          <w:p w14:paraId="192DD1DA"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DD85BDC"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(6.83)</w:t>
            </w:r>
          </w:p>
        </w:tc>
      </w:tr>
      <w:tr w:rsidR="004C1A69" w14:paraId="779201D2" w14:textId="77777777" w:rsidTr="00005463">
        <w:tc>
          <w:tcPr>
            <w:tcW w:w="1656" w:type="dxa"/>
            <w:tcBorders>
              <w:top w:val="nil"/>
              <w:left w:val="nil"/>
              <w:bottom w:val="nil"/>
              <w:right w:val="nil"/>
            </w:tcBorders>
          </w:tcPr>
          <w:p w14:paraId="41434B4E"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DACC1C2"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r>
      <w:tr w:rsidR="004C1A69" w14:paraId="73481DA5" w14:textId="77777777" w:rsidTr="00005463">
        <w:tc>
          <w:tcPr>
            <w:tcW w:w="1656" w:type="dxa"/>
            <w:tcBorders>
              <w:top w:val="nil"/>
              <w:left w:val="nil"/>
              <w:bottom w:val="nil"/>
              <w:right w:val="nil"/>
            </w:tcBorders>
          </w:tcPr>
          <w:p w14:paraId="375CC708"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7D4C4D8D"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-7.374</w:t>
            </w:r>
            <w:r>
              <w:rPr>
                <w:rFonts w:ascii="Times New Roman" w:hAnsi="Times New Roman" w:cs="Times New Roman"/>
                <w:sz w:val="24"/>
                <w:szCs w:val="24"/>
                <w:vertAlign w:val="superscript"/>
              </w:rPr>
              <w:t>***</w:t>
            </w:r>
          </w:p>
        </w:tc>
      </w:tr>
      <w:tr w:rsidR="004C1A69" w14:paraId="3973141A" w14:textId="77777777" w:rsidTr="00005463">
        <w:tc>
          <w:tcPr>
            <w:tcW w:w="1656" w:type="dxa"/>
            <w:tcBorders>
              <w:top w:val="nil"/>
              <w:left w:val="nil"/>
              <w:bottom w:val="single" w:sz="4" w:space="0" w:color="auto"/>
              <w:right w:val="nil"/>
            </w:tcBorders>
          </w:tcPr>
          <w:p w14:paraId="30A633DC"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73204E91"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(-7.07)</w:t>
            </w:r>
          </w:p>
        </w:tc>
      </w:tr>
      <w:tr w:rsidR="004C1A69" w14:paraId="3A6DA47F" w14:textId="77777777" w:rsidTr="00005463">
        <w:tc>
          <w:tcPr>
            <w:tcW w:w="1656" w:type="dxa"/>
            <w:tcBorders>
              <w:top w:val="nil"/>
              <w:left w:val="nil"/>
              <w:bottom w:val="single" w:sz="4" w:space="0" w:color="auto"/>
              <w:right w:val="nil"/>
            </w:tcBorders>
          </w:tcPr>
          <w:p w14:paraId="0ED6F401"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675B7392"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1226</w:t>
            </w:r>
          </w:p>
        </w:tc>
      </w:tr>
    </w:tbl>
    <w:p w14:paraId="1B4C6AAA" w14:textId="77777777" w:rsidR="004C1A69" w:rsidRDefault="004C1A69" w:rsidP="004C1A6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DA4BD05" w14:textId="77777777" w:rsidR="004C1A69" w:rsidRDefault="004C1A69" w:rsidP="004C1A6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56614AC" w14:textId="0ECC587D" w:rsidR="004C1A69" w:rsidRDefault="004C1A69" w:rsidP="00D64175">
      <w:pPr>
        <w:rPr>
          <w:lang w:val="en-GB"/>
        </w:rPr>
      </w:pPr>
    </w:p>
    <w:tbl>
      <w:tblPr>
        <w:tblW w:w="0" w:type="auto"/>
        <w:tblLayout w:type="fixed"/>
        <w:tblLook w:val="0000" w:firstRow="0" w:lastRow="0" w:firstColumn="0" w:lastColumn="0" w:noHBand="0" w:noVBand="0"/>
      </w:tblPr>
      <w:tblGrid>
        <w:gridCol w:w="1656"/>
        <w:gridCol w:w="2016"/>
      </w:tblGrid>
      <w:tr w:rsidR="008F0ED0" w14:paraId="0B7B0B66" w14:textId="77777777" w:rsidTr="00005463">
        <w:tc>
          <w:tcPr>
            <w:tcW w:w="1656" w:type="dxa"/>
            <w:tcBorders>
              <w:top w:val="single" w:sz="4" w:space="0" w:color="auto"/>
              <w:left w:val="nil"/>
              <w:bottom w:val="nil"/>
              <w:right w:val="nil"/>
            </w:tcBorders>
          </w:tcPr>
          <w:p w14:paraId="0F3FBE83"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1B7C52A4"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F0ED0" w14:paraId="326FD991" w14:textId="77777777" w:rsidTr="00005463">
        <w:tc>
          <w:tcPr>
            <w:tcW w:w="1656" w:type="dxa"/>
            <w:tcBorders>
              <w:top w:val="nil"/>
              <w:left w:val="nil"/>
              <w:bottom w:val="nil"/>
              <w:right w:val="nil"/>
            </w:tcBorders>
          </w:tcPr>
          <w:p w14:paraId="0A711187"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EBA0C1F"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8F0ED0" w14:paraId="005A66F5" w14:textId="77777777" w:rsidTr="00005463">
        <w:tc>
          <w:tcPr>
            <w:tcW w:w="1656" w:type="dxa"/>
            <w:tcBorders>
              <w:top w:val="single" w:sz="4" w:space="0" w:color="auto"/>
              <w:left w:val="nil"/>
              <w:bottom w:val="nil"/>
              <w:right w:val="nil"/>
            </w:tcBorders>
          </w:tcPr>
          <w:p w14:paraId="07FA58C6"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2A2C4B88"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0.257</w:t>
            </w:r>
            <w:r>
              <w:rPr>
                <w:rFonts w:ascii="Times New Roman" w:hAnsi="Times New Roman" w:cs="Times New Roman"/>
                <w:sz w:val="24"/>
                <w:szCs w:val="24"/>
                <w:vertAlign w:val="superscript"/>
              </w:rPr>
              <w:t>***</w:t>
            </w:r>
          </w:p>
        </w:tc>
      </w:tr>
      <w:tr w:rsidR="008F0ED0" w14:paraId="2C1D3902" w14:textId="77777777" w:rsidTr="00005463">
        <w:tc>
          <w:tcPr>
            <w:tcW w:w="1656" w:type="dxa"/>
            <w:tcBorders>
              <w:top w:val="nil"/>
              <w:left w:val="nil"/>
              <w:bottom w:val="nil"/>
              <w:right w:val="nil"/>
            </w:tcBorders>
          </w:tcPr>
          <w:p w14:paraId="272C65DD"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D4C887E"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(4.13)</w:t>
            </w:r>
          </w:p>
        </w:tc>
      </w:tr>
      <w:tr w:rsidR="008F0ED0" w14:paraId="3FFDA68B" w14:textId="77777777" w:rsidTr="00005463">
        <w:tc>
          <w:tcPr>
            <w:tcW w:w="1656" w:type="dxa"/>
            <w:tcBorders>
              <w:top w:val="nil"/>
              <w:left w:val="nil"/>
              <w:bottom w:val="nil"/>
              <w:right w:val="nil"/>
            </w:tcBorders>
          </w:tcPr>
          <w:p w14:paraId="7820BAE5"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AED3BC"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r>
      <w:tr w:rsidR="008F0ED0" w14:paraId="7B026370" w14:textId="77777777" w:rsidTr="00005463">
        <w:tc>
          <w:tcPr>
            <w:tcW w:w="1656" w:type="dxa"/>
            <w:tcBorders>
              <w:top w:val="nil"/>
              <w:left w:val="nil"/>
              <w:bottom w:val="nil"/>
              <w:right w:val="nil"/>
            </w:tcBorders>
          </w:tcPr>
          <w:p w14:paraId="00EAF4C6"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50BCEDFA"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-1.871</w:t>
            </w:r>
            <w:r>
              <w:rPr>
                <w:rFonts w:ascii="Times New Roman" w:hAnsi="Times New Roman" w:cs="Times New Roman"/>
                <w:sz w:val="24"/>
                <w:szCs w:val="24"/>
                <w:vertAlign w:val="superscript"/>
              </w:rPr>
              <w:t>***</w:t>
            </w:r>
          </w:p>
        </w:tc>
      </w:tr>
      <w:tr w:rsidR="008F0ED0" w14:paraId="78679C57" w14:textId="77777777" w:rsidTr="00005463">
        <w:tc>
          <w:tcPr>
            <w:tcW w:w="1656" w:type="dxa"/>
            <w:tcBorders>
              <w:top w:val="nil"/>
              <w:left w:val="nil"/>
              <w:bottom w:val="single" w:sz="4" w:space="0" w:color="auto"/>
              <w:right w:val="nil"/>
            </w:tcBorders>
          </w:tcPr>
          <w:p w14:paraId="25ADC044"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5B5BEDB"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8F0ED0" w14:paraId="131C397D" w14:textId="77777777" w:rsidTr="00005463">
        <w:tc>
          <w:tcPr>
            <w:tcW w:w="1656" w:type="dxa"/>
            <w:tcBorders>
              <w:top w:val="nil"/>
              <w:left w:val="nil"/>
              <w:bottom w:val="single" w:sz="4" w:space="0" w:color="auto"/>
              <w:right w:val="nil"/>
            </w:tcBorders>
          </w:tcPr>
          <w:p w14:paraId="39E5AC11"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3B06E8C2"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437</w:t>
            </w:r>
          </w:p>
        </w:tc>
      </w:tr>
    </w:tbl>
    <w:p w14:paraId="3CD6302D" w14:textId="77777777" w:rsidR="008F0ED0" w:rsidRDefault="008F0ED0" w:rsidP="008F0ED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lastRenderedPageBreak/>
        <w:t>t</w:t>
      </w:r>
      <w:r>
        <w:rPr>
          <w:rFonts w:ascii="Times New Roman" w:hAnsi="Times New Roman" w:cs="Times New Roman"/>
          <w:sz w:val="20"/>
          <w:szCs w:val="20"/>
        </w:rPr>
        <w:t xml:space="preserve"> statistics in parentheses</w:t>
      </w:r>
    </w:p>
    <w:p w14:paraId="0002F7EE" w14:textId="77777777" w:rsidR="008F0ED0" w:rsidRDefault="008F0ED0" w:rsidP="008F0ED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454AB63" w14:textId="11007565" w:rsidR="008F0ED0" w:rsidRDefault="008F0ED0" w:rsidP="00D64175">
      <w:pPr>
        <w:rPr>
          <w:lang w:val="en-GB"/>
        </w:rPr>
      </w:pPr>
    </w:p>
    <w:tbl>
      <w:tblPr>
        <w:tblW w:w="0" w:type="auto"/>
        <w:tblLayout w:type="fixed"/>
        <w:tblLook w:val="0000" w:firstRow="0" w:lastRow="0" w:firstColumn="0" w:lastColumn="0" w:noHBand="0" w:noVBand="0"/>
      </w:tblPr>
      <w:tblGrid>
        <w:gridCol w:w="1656"/>
        <w:gridCol w:w="2016"/>
      </w:tblGrid>
      <w:tr w:rsidR="004B7D30" w14:paraId="641EC840" w14:textId="77777777" w:rsidTr="00005463">
        <w:tc>
          <w:tcPr>
            <w:tcW w:w="1656" w:type="dxa"/>
            <w:tcBorders>
              <w:top w:val="single" w:sz="4" w:space="0" w:color="auto"/>
              <w:left w:val="nil"/>
              <w:bottom w:val="nil"/>
              <w:right w:val="nil"/>
            </w:tcBorders>
          </w:tcPr>
          <w:p w14:paraId="10BC5DC7"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5666433"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B7D30" w14:paraId="6D5C7C0F" w14:textId="77777777" w:rsidTr="00005463">
        <w:tc>
          <w:tcPr>
            <w:tcW w:w="1656" w:type="dxa"/>
            <w:tcBorders>
              <w:top w:val="nil"/>
              <w:left w:val="nil"/>
              <w:bottom w:val="nil"/>
              <w:right w:val="nil"/>
            </w:tcBorders>
          </w:tcPr>
          <w:p w14:paraId="0BF52348"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6574770"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r>
      <w:tr w:rsidR="004B7D30" w14:paraId="48A69E93" w14:textId="77777777" w:rsidTr="00005463">
        <w:tc>
          <w:tcPr>
            <w:tcW w:w="1656" w:type="dxa"/>
            <w:tcBorders>
              <w:top w:val="single" w:sz="4" w:space="0" w:color="auto"/>
              <w:left w:val="nil"/>
              <w:bottom w:val="nil"/>
              <w:right w:val="nil"/>
            </w:tcBorders>
          </w:tcPr>
          <w:p w14:paraId="10104CA1"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5C5875A8"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-0.0779</w:t>
            </w:r>
            <w:r>
              <w:rPr>
                <w:rFonts w:ascii="Times New Roman" w:hAnsi="Times New Roman" w:cs="Times New Roman"/>
                <w:sz w:val="24"/>
                <w:szCs w:val="24"/>
                <w:vertAlign w:val="superscript"/>
              </w:rPr>
              <w:t>***</w:t>
            </w:r>
          </w:p>
        </w:tc>
      </w:tr>
      <w:tr w:rsidR="004B7D30" w14:paraId="33B40865" w14:textId="77777777" w:rsidTr="00005463">
        <w:tc>
          <w:tcPr>
            <w:tcW w:w="1656" w:type="dxa"/>
            <w:tcBorders>
              <w:top w:val="nil"/>
              <w:left w:val="nil"/>
              <w:bottom w:val="nil"/>
              <w:right w:val="nil"/>
            </w:tcBorders>
          </w:tcPr>
          <w:p w14:paraId="3B1E4080"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29D32D6"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(-3.35)</w:t>
            </w:r>
          </w:p>
        </w:tc>
      </w:tr>
      <w:tr w:rsidR="004B7D30" w14:paraId="0AE5EBD4" w14:textId="77777777" w:rsidTr="00005463">
        <w:tc>
          <w:tcPr>
            <w:tcW w:w="1656" w:type="dxa"/>
            <w:tcBorders>
              <w:top w:val="nil"/>
              <w:left w:val="nil"/>
              <w:bottom w:val="nil"/>
              <w:right w:val="nil"/>
            </w:tcBorders>
          </w:tcPr>
          <w:p w14:paraId="1CB2DD91"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4EAB31C"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r>
      <w:tr w:rsidR="004B7D30" w14:paraId="5E17189C" w14:textId="77777777" w:rsidTr="00005463">
        <w:tc>
          <w:tcPr>
            <w:tcW w:w="1656" w:type="dxa"/>
            <w:tcBorders>
              <w:top w:val="nil"/>
              <w:left w:val="nil"/>
              <w:bottom w:val="nil"/>
              <w:right w:val="nil"/>
            </w:tcBorders>
          </w:tcPr>
          <w:p w14:paraId="3194CF66"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4E55C6A"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1.267</w:t>
            </w:r>
            <w:r>
              <w:rPr>
                <w:rFonts w:ascii="Times New Roman" w:hAnsi="Times New Roman" w:cs="Times New Roman"/>
                <w:sz w:val="24"/>
                <w:szCs w:val="24"/>
                <w:vertAlign w:val="superscript"/>
              </w:rPr>
              <w:t>***</w:t>
            </w:r>
          </w:p>
        </w:tc>
      </w:tr>
      <w:tr w:rsidR="004B7D30" w14:paraId="7CE7C2C1" w14:textId="77777777" w:rsidTr="00005463">
        <w:tc>
          <w:tcPr>
            <w:tcW w:w="1656" w:type="dxa"/>
            <w:tcBorders>
              <w:top w:val="nil"/>
              <w:left w:val="nil"/>
              <w:bottom w:val="single" w:sz="4" w:space="0" w:color="auto"/>
              <w:right w:val="nil"/>
            </w:tcBorders>
          </w:tcPr>
          <w:p w14:paraId="37180B2A"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307112B7"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(6.94)</w:t>
            </w:r>
          </w:p>
        </w:tc>
      </w:tr>
      <w:tr w:rsidR="004B7D30" w14:paraId="18188860" w14:textId="77777777" w:rsidTr="00005463">
        <w:tc>
          <w:tcPr>
            <w:tcW w:w="1656" w:type="dxa"/>
            <w:tcBorders>
              <w:top w:val="nil"/>
              <w:left w:val="nil"/>
              <w:bottom w:val="single" w:sz="4" w:space="0" w:color="auto"/>
              <w:right w:val="nil"/>
            </w:tcBorders>
          </w:tcPr>
          <w:p w14:paraId="622762DE"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C08C920"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835</w:t>
            </w:r>
          </w:p>
        </w:tc>
      </w:tr>
    </w:tbl>
    <w:p w14:paraId="003483C0" w14:textId="77777777" w:rsidR="004B7D30" w:rsidRDefault="004B7D30" w:rsidP="004B7D3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9A45777" w14:textId="0FD24EBF" w:rsidR="004B7D30" w:rsidRDefault="004B7D30" w:rsidP="005F7BD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223BDFF" w14:textId="77777777" w:rsidR="005F7BDB" w:rsidRPr="005F7BDB" w:rsidRDefault="005F7BDB" w:rsidP="005F7BDB">
      <w:pPr>
        <w:widowControl w:val="0"/>
        <w:autoSpaceDE w:val="0"/>
        <w:autoSpaceDN w:val="0"/>
        <w:adjustRightInd w:val="0"/>
        <w:spacing w:after="0" w:line="240" w:lineRule="auto"/>
        <w:rPr>
          <w:rFonts w:ascii="Times New Roman" w:hAnsi="Times New Roman" w:cs="Times New Roman"/>
          <w:sz w:val="20"/>
          <w:szCs w:val="20"/>
        </w:rPr>
      </w:pPr>
    </w:p>
    <w:p w14:paraId="5793D593" w14:textId="68694099" w:rsidR="005F7BDB" w:rsidRDefault="005F7BDB" w:rsidP="005F7BDB">
      <w:r>
        <w:t>Extra items/for later</w:t>
      </w:r>
    </w:p>
    <w:p w14:paraId="28E00E64" w14:textId="180F2E2E" w:rsidR="005A1299" w:rsidRDefault="005A1299" w:rsidP="005F7BDB">
      <w:r>
        <w:t>Add in summary statistics</w:t>
      </w:r>
    </w:p>
    <w:p w14:paraId="53F9DDDB" w14:textId="75D716D5" w:rsidR="005F7BDB" w:rsidRDefault="005F7BDB" w:rsidP="005F7BDB">
      <w:r>
        <w:t>Do all as interactions with openness and capital mobility/controls</w:t>
      </w:r>
    </w:p>
    <w:p w14:paraId="33C0F91F" w14:textId="77777777" w:rsidR="005F7BDB" w:rsidRDefault="005F7BDB" w:rsidP="005F7BDB">
      <w:r>
        <w:t>Incumbent running elections excluded test</w:t>
      </w:r>
    </w:p>
    <w:p w14:paraId="2D063C99" w14:textId="3B89CA6B" w:rsidR="006A0819" w:rsidRDefault="005F7BDB" w:rsidP="005F7BDB">
      <w:r>
        <w:t>Fixed Effects Regression effect of CBI on probability of election turnover (</w:t>
      </w:r>
      <w:proofErr w:type="spellStart"/>
      <w:r>
        <w:t>xtlogit</w:t>
      </w:r>
      <w:proofErr w:type="spellEnd"/>
      <w:r>
        <w:t>)</w:t>
      </w:r>
    </w:p>
    <w:p w14:paraId="1FBB6E5E" w14:textId="671EBD37" w:rsidR="005F7BDB" w:rsidRDefault="005F7BDB" w:rsidP="005F7BDB">
      <w:r>
        <w:t>Arellano Bond</w:t>
      </w:r>
    </w:p>
    <w:p w14:paraId="214DD667" w14:textId="2F07811D" w:rsidR="00F5777E" w:rsidRDefault="00F5777E" w:rsidP="005F7BDB">
      <w:r>
        <w:t>Survival Analysis</w:t>
      </w:r>
    </w:p>
    <w:p w14:paraId="7485E037" w14:textId="77777777" w:rsidR="005F7BDB" w:rsidRDefault="005F7BDB" w:rsidP="005F7BDB">
      <w:r>
        <w:t>Add in the first stages and show more</w:t>
      </w:r>
    </w:p>
    <w:p w14:paraId="4EF7968A" w14:textId="224CCD66" w:rsidR="005F7BDB" w:rsidRDefault="005F7BDB" w:rsidP="005F7BDB">
      <w:r>
        <w:t>Regime as a binary or interaction- if interaction, can be continuous</w:t>
      </w:r>
    </w:p>
    <w:p w14:paraId="777091ED" w14:textId="64CDF8F9" w:rsidR="00331ABD" w:rsidRDefault="00331ABD" w:rsidP="005F7BDB">
      <w:r>
        <w:t>Binary turnover barriers to avoid linearity/spacing assumption</w:t>
      </w:r>
      <w:bookmarkStart w:id="0" w:name="_GoBack"/>
      <w:bookmarkEnd w:id="0"/>
    </w:p>
    <w:p w14:paraId="57AF6291" w14:textId="4A6DC160" w:rsidR="005F7BDB" w:rsidRDefault="005F7BDB" w:rsidP="00D64175">
      <w:r>
        <w:t>Combined model- interact independence and fixed rate regime scale</w:t>
      </w:r>
    </w:p>
    <w:p w14:paraId="6FA06D31" w14:textId="1CB73C26" w:rsidR="0096603E" w:rsidRDefault="0096603E" w:rsidP="00D64175">
      <w:r>
        <w:t xml:space="preserve">Correct IV using world bank data instead of just what’s built in to </w:t>
      </w:r>
      <w:proofErr w:type="spellStart"/>
      <w:r>
        <w:t>VDem</w:t>
      </w:r>
      <w:proofErr w:type="spellEnd"/>
      <w:r w:rsidR="00744C43">
        <w:t>, perhaps improve data availability and hence significance.</w:t>
      </w:r>
    </w:p>
    <w:p w14:paraId="3C8B3690" w14:textId="6B9D5083" w:rsidR="006B0763" w:rsidRDefault="006B0763" w:rsidP="00D64175">
      <w:r>
        <w:t xml:space="preserve">Use world bank and not </w:t>
      </w:r>
      <w:proofErr w:type="spellStart"/>
      <w:r>
        <w:t>vdem</w:t>
      </w:r>
      <w:proofErr w:type="spellEnd"/>
      <w:r>
        <w:t xml:space="preserve"> aggregate GDP measure</w:t>
      </w:r>
    </w:p>
    <w:p w14:paraId="7DEBD253" w14:textId="6A5A25E3" w:rsidR="001B09C4" w:rsidRDefault="001B09C4" w:rsidP="00D64175">
      <w:r w:rsidRPr="0067704E">
        <w:t xml:space="preserve">Backup: OECD Monetary Institutions Aid as an IV for ICB. Probably not a great </w:t>
      </w:r>
      <w:r w:rsidR="00F5777E" w:rsidRPr="0067704E">
        <w:t>ER</w:t>
      </w:r>
      <w:r w:rsidRPr="0067704E">
        <w:t>, driven by stability?</w:t>
      </w:r>
    </w:p>
    <w:p w14:paraId="1F6C67CF" w14:textId="3DDD8AB6" w:rsidR="00217B54" w:rsidRDefault="00217B54" w:rsidP="00D64175">
      <w:r>
        <w:t>Presidentialism versus Parliamentarianism</w:t>
      </w:r>
      <w:r w:rsidR="00B8216F">
        <w:t>- sample split or interaction terms?</w:t>
      </w:r>
    </w:p>
    <w:p w14:paraId="437F28EB" w14:textId="0DBE572F" w:rsidR="000261EF" w:rsidRDefault="000261EF" w:rsidP="00D64175">
      <w:r w:rsidRPr="00217B54">
        <w:t xml:space="preserve">Endogenous elections and other things explored in </w:t>
      </w:r>
      <w:proofErr w:type="spellStart"/>
      <w:r w:rsidRPr="00217B54">
        <w:t>clark</w:t>
      </w:r>
      <w:proofErr w:type="spellEnd"/>
      <w:r w:rsidRPr="00217B54">
        <w:t xml:space="preserve"> </w:t>
      </w:r>
      <w:proofErr w:type="spellStart"/>
      <w:r w:rsidRPr="00217B54">
        <w:t>golder</w:t>
      </w:r>
      <w:proofErr w:type="spellEnd"/>
      <w:r w:rsidRPr="00217B54">
        <w:t xml:space="preserve"> </w:t>
      </w:r>
      <w:proofErr w:type="spellStart"/>
      <w:r w:rsidRPr="00217B54">
        <w:t>poast</w:t>
      </w:r>
      <w:proofErr w:type="spellEnd"/>
      <w:r w:rsidRPr="00217B54">
        <w:t xml:space="preserve"> and Bernhard </w:t>
      </w:r>
      <w:proofErr w:type="spellStart"/>
      <w:r w:rsidRPr="00217B54">
        <w:t>leblang</w:t>
      </w:r>
      <w:proofErr w:type="spellEnd"/>
    </w:p>
    <w:p w14:paraId="5A234DB6" w14:textId="2EEF1EF5" w:rsidR="005D7D56" w:rsidRDefault="005D7D56" w:rsidP="00D64175">
      <w:r>
        <w:t xml:space="preserve">Integrate </w:t>
      </w:r>
      <w:proofErr w:type="spellStart"/>
      <w:r>
        <w:t>Grilli</w:t>
      </w:r>
      <w:proofErr w:type="spellEnd"/>
      <w:r>
        <w:t xml:space="preserve"> </w:t>
      </w:r>
      <w:r w:rsidR="005A0BCD">
        <w:t>index</w:t>
      </w:r>
      <w:r>
        <w:t xml:space="preserve"> of de facto CB independence</w:t>
      </w:r>
    </w:p>
    <w:p w14:paraId="2D1DBD10" w14:textId="5CBB1D97" w:rsidR="000261EF" w:rsidRPr="000261EF" w:rsidRDefault="000261EF" w:rsidP="00D64175">
      <w:pPr>
        <w:rPr>
          <w:i/>
          <w:iCs/>
          <w:lang w:val="en-GB"/>
        </w:rPr>
      </w:pPr>
      <w:r w:rsidRPr="00C700DF">
        <w:rPr>
          <w:i/>
          <w:iCs/>
          <w:highlight w:val="cyan"/>
          <w:lang w:val="en-GB"/>
        </w:rPr>
        <w:t>Revision Ends here.</w:t>
      </w:r>
    </w:p>
    <w:p w14:paraId="51DC7962" w14:textId="331258F7" w:rsidR="003A6DEA" w:rsidRDefault="00E5270D" w:rsidP="002930AA">
      <w:pPr>
        <w:pStyle w:val="Heading1"/>
        <w:rPr>
          <w:lang w:val="en-GB"/>
        </w:rPr>
      </w:pPr>
      <w:r>
        <w:rPr>
          <w:lang w:val="en-GB"/>
        </w:rPr>
        <w:lastRenderedPageBreak/>
        <w:t>Di</w:t>
      </w:r>
      <w:r w:rsidR="004F65A9">
        <w:rPr>
          <w:lang w:val="en-GB"/>
        </w:rPr>
        <w:t>scussion</w:t>
      </w:r>
    </w:p>
    <w:p w14:paraId="61EBBD24" w14:textId="75D04C41" w:rsidR="00300893" w:rsidRDefault="00300893" w:rsidP="003A6DEA">
      <w:pPr>
        <w:rPr>
          <w:lang w:val="en-GB"/>
        </w:rPr>
      </w:pPr>
      <w:bookmarkStart w:id="1" w:name="_Hlk30424277"/>
      <w:r>
        <w:rPr>
          <w:lang w:val="en-GB"/>
        </w:rPr>
        <w:t>Evaluate the results</w:t>
      </w:r>
    </w:p>
    <w:p w14:paraId="530A5B2A" w14:textId="6A3E42CC" w:rsidR="00A549AB" w:rsidRDefault="00A549AB" w:rsidP="003A6DEA">
      <w:pPr>
        <w:rPr>
          <w:lang w:val="en-GB"/>
        </w:rPr>
      </w:pPr>
      <w:r>
        <w:rPr>
          <w:lang w:val="en-GB"/>
        </w:rPr>
        <w:t>Implications: which theoretical chunks are best supported</w:t>
      </w:r>
    </w:p>
    <w:p w14:paraId="71958C3C" w14:textId="562CBC83" w:rsidR="00E51EAE" w:rsidRDefault="00E51EAE" w:rsidP="003A6DEA">
      <w:r w:rsidRPr="006C6A3E">
        <w:rPr>
          <w:highlight w:val="yellow"/>
        </w:rPr>
        <w:t>getting the inflation benefits</w:t>
      </w:r>
      <w:r>
        <w:rPr>
          <w:highlight w:val="yellow"/>
        </w:rPr>
        <w:t xml:space="preserve"> only in the de facto case</w:t>
      </w:r>
      <w:r w:rsidRPr="006C6A3E">
        <w:rPr>
          <w:highlight w:val="yellow"/>
        </w:rPr>
        <w:t>?</w:t>
      </w:r>
    </w:p>
    <w:p w14:paraId="0D48DE96" w14:textId="040EC3F2" w:rsidR="00213E87" w:rsidRPr="00213E87" w:rsidRDefault="00213E87" w:rsidP="003A6DEA">
      <w:r w:rsidRPr="00213E87">
        <w:t xml:space="preserve">De jure </w:t>
      </w:r>
      <w:proofErr w:type="spellStart"/>
      <w:r w:rsidRPr="00213E87">
        <w:t>cbi</w:t>
      </w:r>
      <w:proofErr w:type="spellEnd"/>
      <w:r w:rsidRPr="00213E87">
        <w:t xml:space="preserve"> plays close to th</w:t>
      </w:r>
      <w:r>
        <w:t>e political business cycle</w:t>
      </w:r>
      <w:r w:rsidR="006B1B83">
        <w:t>- decreasing stability</w:t>
      </w:r>
    </w:p>
    <w:p w14:paraId="4F364832" w14:textId="5755E4EA" w:rsidR="00213E87" w:rsidRPr="00213E87" w:rsidRDefault="00213E87" w:rsidP="003A6DEA">
      <w:r w:rsidRPr="00213E87">
        <w:t xml:space="preserve">De facto </w:t>
      </w:r>
      <w:proofErr w:type="spellStart"/>
      <w:r w:rsidRPr="00213E87">
        <w:t>cbi</w:t>
      </w:r>
      <w:proofErr w:type="spellEnd"/>
      <w:r w:rsidRPr="00213E87">
        <w:t xml:space="preserve"> and fix</w:t>
      </w:r>
      <w:r>
        <w:t>ed rates play closer to the welfare case</w:t>
      </w:r>
      <w:r w:rsidR="006B1B83">
        <w:t>- growing stability</w:t>
      </w:r>
    </w:p>
    <w:p w14:paraId="28CE7BA3" w14:textId="26FF15D3" w:rsidR="003D050C" w:rsidRPr="008B421B" w:rsidRDefault="003D050C" w:rsidP="003D050C">
      <w:pPr>
        <w:pStyle w:val="Heading1"/>
      </w:pPr>
      <w:r w:rsidRPr="008B421B">
        <w:t>Conclusion</w:t>
      </w:r>
    </w:p>
    <w:p w14:paraId="76FA1D63" w14:textId="325DF739"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Pr>
          <w:lang w:val="en-GB"/>
        </w:rPr>
        <w:t>optimal lengths in office vary</w:t>
      </w:r>
      <w:r w:rsidR="00EF12D2">
        <w:rPr>
          <w:lang w:val="en-GB"/>
        </w:rPr>
        <w:t xml:space="preserve"> </w:t>
      </w:r>
      <w:r w:rsidR="009D1522" w:rsidRPr="009D7FB2">
        <w:rPr>
          <w:rFonts w:ascii="Calibri" w:hAnsi="Calibri" w:cs="Calibri"/>
          <w:lang w:val="en-GB"/>
        </w:rPr>
        <w:t>(Greenberg n.d.)</w:t>
      </w:r>
      <w:r w:rsidR="000009B8">
        <w:rPr>
          <w:lang w:val="en-GB"/>
        </w:rPr>
        <w:t>.</w:t>
      </w:r>
      <w:r w:rsidR="00BF7C11">
        <w:rPr>
          <w:lang w:val="en-GB"/>
        </w:rPr>
        <w:t xml:space="preserve"> </w:t>
      </w:r>
      <w:r w:rsidR="00122A86">
        <w:rPr>
          <w:lang w:val="en-GB"/>
        </w:rPr>
        <w:t>Within the political economy literature</w:t>
      </w:r>
      <w:r w:rsidR="00624661">
        <w:rPr>
          <w:lang w:val="en-GB"/>
        </w:rPr>
        <w:t>,</w:t>
      </w:r>
      <w:r w:rsidR="007B6F16">
        <w:rPr>
          <w:lang w:val="en-GB"/>
        </w:rPr>
        <w:t xml:space="preserve"> </w:t>
      </w:r>
      <w:r w:rsidR="00B12E1E">
        <w:rPr>
          <w:lang w:val="en-GB"/>
        </w:rPr>
        <w:t>short</w:t>
      </w:r>
      <w:r w:rsidR="00C1489B">
        <w:rPr>
          <w:lang w:val="en-GB"/>
        </w:rPr>
        <w:t xml:space="preserve"> shadows of the future can have </w:t>
      </w:r>
      <w:r w:rsidR="00B12E1E">
        <w:rPr>
          <w:lang w:val="en-GB"/>
        </w:rPr>
        <w:t xml:space="preserve">adverse effects on the provision of public goods </w:t>
      </w:r>
      <w:r w:rsidR="00FC58AC">
        <w:rPr>
          <w:lang w:val="en-GB"/>
        </w:rPr>
        <w:t>and peaceful order</w:t>
      </w:r>
      <w:r w:rsidR="00CE399E">
        <w:rPr>
          <w:lang w:val="en-GB"/>
        </w:rPr>
        <w:t xml:space="preserve"> </w:t>
      </w:r>
      <w:r w:rsidR="00FC58AC">
        <w:rPr>
          <w:lang w:val="en-GB"/>
        </w:rPr>
        <w:fldChar w:fldCharType="begin"/>
      </w:r>
      <w:r w:rsidR="00CE399E">
        <w:rPr>
          <w:lang w:val="en-GB"/>
        </w:rPr>
        <w:instrText xml:space="preserve"> ADDIN ZOTERO_ITEM CSL_CITATION {"citationID":"u69dB2sY","properties":{"formattedCitation":"(Olson 1993)","plainCitation":"(Olson 1993)","noteIndex":0},"citationItems":[{"id":276,"uris":["http://zotero.org/users/5939705/items/GUGUJ7T9"],"uri":["http://zotero.org/users/5939705/items/GUGUJ7T9"],"itemData":{"id":276,"type":"article-journal","abstract":"Under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Pr>
          <w:lang w:val="en-GB"/>
        </w:rPr>
        <w:fldChar w:fldCharType="separate"/>
      </w:r>
      <w:r w:rsidR="00CE399E" w:rsidRPr="00CE399E">
        <w:rPr>
          <w:rFonts w:ascii="Calibri" w:hAnsi="Calibri" w:cs="Calibri"/>
        </w:rPr>
        <w:t>(Olson 1993)</w:t>
      </w:r>
      <w:r w:rsidR="00FC58AC">
        <w:rPr>
          <w:lang w:val="en-GB"/>
        </w:rPr>
        <w:fldChar w:fldCharType="end"/>
      </w:r>
      <w:r w:rsidR="00FC58AC">
        <w:rPr>
          <w:lang w:val="en-GB"/>
        </w:rPr>
        <w:t xml:space="preserve">. </w:t>
      </w:r>
      <w:r w:rsidR="00BF7C11">
        <w:rPr>
          <w:lang w:val="en-GB"/>
        </w:rPr>
        <w:t xml:space="preserve">The results </w:t>
      </w:r>
      <w:r w:rsidR="00FC58AC">
        <w:rPr>
          <w:lang w:val="en-GB"/>
        </w:rPr>
        <w:t xml:space="preserve">of this paper </w:t>
      </w:r>
      <w:r w:rsidR="00BF7C11">
        <w:rPr>
          <w:lang w:val="en-GB"/>
        </w:rPr>
        <w:t>show that the institutions of ________ specifically should be</w:t>
      </w:r>
      <w:r w:rsidR="00EF12D2">
        <w:rPr>
          <w:lang w:val="en-GB"/>
        </w:rPr>
        <w:t xml:space="preserve"> weighed</w:t>
      </w:r>
      <w:r w:rsidR="009D7FB2">
        <w:rPr>
          <w:lang w:val="en-GB"/>
        </w:rPr>
        <w:t xml:space="preserve"> </w:t>
      </w:r>
      <w:r w:rsidR="00C1489B">
        <w:rPr>
          <w:lang w:val="en-GB"/>
        </w:rPr>
        <w:t xml:space="preserve">with respect to these </w:t>
      </w:r>
      <w:r w:rsidR="00624661">
        <w:rPr>
          <w:lang w:val="en-GB"/>
        </w:rPr>
        <w:t>potential effects.</w:t>
      </w:r>
      <w:r w:rsidR="00B01EC6">
        <w:rPr>
          <w:lang w:val="en-GB"/>
        </w:rPr>
        <w:t xml:space="preserve"> Normative revaluations may thus be appropriate.</w:t>
      </w:r>
    </w:p>
    <w:p w14:paraId="59E213EE" w14:textId="50F59288" w:rsidR="00061E97" w:rsidRDefault="00061E97" w:rsidP="009D1522">
      <w:pPr>
        <w:rPr>
          <w:lang w:val="en-GB"/>
        </w:rPr>
      </w:pPr>
      <w:r>
        <w:rPr>
          <w:lang w:val="en-GB"/>
        </w:rPr>
        <w:t>Implications for IMF policy recommendations, etc.</w:t>
      </w:r>
    </w:p>
    <w:p w14:paraId="76269BD8" w14:textId="451BE195" w:rsidR="00233E98" w:rsidRDefault="00233E98" w:rsidP="009D1522">
      <w:r>
        <w:t>If there was evidence CBI affected turnover</w:t>
      </w:r>
      <w:r w:rsidR="009066DF">
        <w:t xml:space="preserve"> after the instrument: issues for Cukierman, de </w:t>
      </w:r>
      <w:proofErr w:type="spellStart"/>
      <w:r w:rsidR="009066DF">
        <w:t>Haan</w:t>
      </w:r>
      <w:proofErr w:type="spellEnd"/>
      <w:r w:rsidR="009066DF">
        <w:t>, etc.?</w:t>
      </w:r>
      <w:r w:rsidR="00214283">
        <w:t xml:space="preserve"> Reverse causal problems for the reverse causal argument!</w:t>
      </w:r>
    </w:p>
    <w:p w14:paraId="423C2811" w14:textId="06580EAC" w:rsidR="009A677E" w:rsidRDefault="002322A9" w:rsidP="009A677E">
      <w:pPr>
        <w:rPr>
          <w:lang w:val="en-GB"/>
        </w:rPr>
      </w:pPr>
      <w:r>
        <w:t>Most importantly, t</w:t>
      </w:r>
      <w:r w:rsidR="00A06351">
        <w:t xml:space="preserve">he consideration of endogeneity should be </w:t>
      </w:r>
      <w:r>
        <w:t>adequately considered</w:t>
      </w:r>
      <w:r w:rsidR="00A06351">
        <w:t xml:space="preserve"> in future work </w:t>
      </w:r>
      <w:r w:rsidR="00EF1E02">
        <w:t xml:space="preserve">on the impacts of </w:t>
      </w:r>
      <w:r w:rsidR="00072C18">
        <w:t>limiting regimes</w:t>
      </w:r>
      <w:r w:rsidR="00EF1E02">
        <w:t>.</w:t>
      </w:r>
      <w:r w:rsidR="00EE1481">
        <w:t xml:space="preserve"> In some cases, the careful usage of panel data</w:t>
      </w:r>
      <w:r w:rsidR="00103AD1">
        <w:t xml:space="preserve"> with adequate fixed effects and measures to handle reverse causality may be </w:t>
      </w:r>
      <w:r w:rsidR="00FC4188">
        <w:t>enough</w:t>
      </w:r>
      <w:r w:rsidR="00103AD1">
        <w:t>.</w:t>
      </w:r>
      <w:r w:rsidR="00EF1E02">
        <w:t xml:space="preserve"> In </w:t>
      </w:r>
      <w:r w:rsidR="00EE1481">
        <w:t>other cases</w:t>
      </w:r>
      <w:r w:rsidR="00EF1E02">
        <w:t xml:space="preserve">, the introduction </w:t>
      </w:r>
      <w:r w:rsidR="00072C18">
        <w:rPr>
          <w:lang w:val="en-GB"/>
        </w:rPr>
        <w:t xml:space="preserve">of instruments </w:t>
      </w:r>
      <w:r w:rsidR="0072312E">
        <w:rPr>
          <w:lang w:val="en-GB"/>
        </w:rPr>
        <w:t xml:space="preserve">as </w:t>
      </w:r>
      <w:r w:rsidR="00072C18">
        <w:rPr>
          <w:lang w:val="en-GB"/>
        </w:rPr>
        <w:t>in this paper should be helpful.</w:t>
      </w:r>
    </w:p>
    <w:p w14:paraId="2292C78F" w14:textId="4A364246" w:rsidR="00C60990" w:rsidRDefault="006B344F" w:rsidP="00375D36">
      <w:r>
        <w:t xml:space="preserve">One interesting case study which could shed more light on </w:t>
      </w:r>
      <w:r w:rsidR="00AB0BEF">
        <w:t xml:space="preserve">the mechanisms at work in the link between limiting institutions and instability could be </w:t>
      </w:r>
      <w:r w:rsidR="00B9504E">
        <w:t>a closer</w:t>
      </w:r>
      <w:r w:rsidR="00AB0BEF">
        <w:t xml:space="preserve"> examination of </w:t>
      </w:r>
      <w:r w:rsidR="00B9504E">
        <w:t xml:space="preserve">the joint arrangement of central bank independence and </w:t>
      </w:r>
      <w:r w:rsidR="00C00ECE">
        <w:t xml:space="preserve">a fixed exchange rate </w:t>
      </w:r>
      <w:r w:rsidR="005111C9">
        <w:t>on the European continent.</w:t>
      </w:r>
      <w:r w:rsidR="0081379A">
        <w:t xml:space="preserve"> </w:t>
      </w:r>
      <w:r w:rsidR="00777E88">
        <w:t xml:space="preserve">Trouble </w:t>
      </w:r>
      <w:r w:rsidR="007D3C12">
        <w:t xml:space="preserve">concerning </w:t>
      </w:r>
      <w:r w:rsidR="0000321A">
        <w:t>the eurozone</w:t>
      </w:r>
      <w:r w:rsidR="007D3C12">
        <w:t xml:space="preserve"> is a common</w:t>
      </w:r>
      <w:r w:rsidR="00531DCC">
        <w:t xml:space="preserve"> explanation for </w:t>
      </w:r>
      <w:r w:rsidR="00076033">
        <w:t>turmoil on the continent</w:t>
      </w:r>
      <w:r w:rsidR="0081379A">
        <w:t xml:space="preserve"> </w:t>
      </w:r>
      <w:r w:rsidR="006E1DE2">
        <w:fldChar w:fldCharType="begin"/>
      </w:r>
      <w:r w:rsidR="0081379A">
        <w:instrText xml:space="preserve"> ADDIN ZOTERO_ITEM CSL_CITATION {"citationID":"wMGuVMaa","properties":{"formattedCitation":"(Stiglitz 2016)","plainCitation":"(Stiglitz 2016)","noteIndex":0},"citationItems":[{"id":356,"uris":["http://zotero.org/users/5939705/items/J37FYLNJ"],"uri":["http://zotero.org/users/5939705/items/J37FYLNJ"],"itemData":{"id":356,"type":"article-newspaper","abstract":"In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6E1DE2">
        <w:fldChar w:fldCharType="separate"/>
      </w:r>
      <w:r w:rsidR="0081379A" w:rsidRPr="0081379A">
        <w:rPr>
          <w:rFonts w:ascii="Calibri" w:hAnsi="Calibri" w:cs="Calibri"/>
        </w:rPr>
        <w:t>(Stiglitz 2016)</w:t>
      </w:r>
      <w:r w:rsidR="006E1DE2">
        <w:fldChar w:fldCharType="end"/>
      </w:r>
      <w:r w:rsidR="0055665A">
        <w:t>.</w:t>
      </w:r>
      <w:r w:rsidR="00EA3A3C">
        <w:t xml:space="preserve"> </w:t>
      </w:r>
      <w:r w:rsidR="00AC069F">
        <w:t xml:space="preserve">Varying dates of entry into European </w:t>
      </w:r>
      <w:r w:rsidR="00C61340">
        <w:t xml:space="preserve">systems provide </w:t>
      </w:r>
      <w:r w:rsidR="00EA3A3C">
        <w:t xml:space="preserve">a means to track political impacts. </w:t>
      </w:r>
      <w:r w:rsidR="00C60990">
        <w:t>European elections</w:t>
      </w:r>
      <w:r w:rsidR="009E7FD6">
        <w:t xml:space="preserve"> also</w:t>
      </w:r>
      <w:r w:rsidR="00C60990">
        <w:t xml:space="preserve"> offer</w:t>
      </w:r>
      <w:r w:rsidR="008369E4">
        <w:t xml:space="preserve"> a more detailed picture of the specific </w:t>
      </w:r>
      <w:r w:rsidR="00A36AF5">
        <w:t xml:space="preserve">kinds of </w:t>
      </w:r>
      <w:r w:rsidR="002B57B3">
        <w:t>upheaval</w:t>
      </w:r>
      <w:r w:rsidR="00FA5846">
        <w:t xml:space="preserve"> following from limits.</w:t>
      </w:r>
      <w:r w:rsidR="00D85667">
        <w:t xml:space="preserve"> Populist </w:t>
      </w:r>
      <w:r w:rsidR="00D92D97">
        <w:t xml:space="preserve">victories </w:t>
      </w:r>
      <w:r w:rsidR="008E2F67">
        <w:t xml:space="preserve">overturning the status quo may come from the Left, </w:t>
      </w:r>
      <w:r w:rsidR="00DE0318">
        <w:t>as in Greece, or the Right, as in Italy</w:t>
      </w:r>
      <w:r w:rsidR="008B2201">
        <w:t xml:space="preserve">, or there may be </w:t>
      </w:r>
      <w:r w:rsidR="00A50ABC">
        <w:t>a change in centrist parties</w:t>
      </w:r>
      <w:r w:rsidR="002913A0">
        <w:t xml:space="preserve"> with reform promises</w:t>
      </w:r>
      <w:r w:rsidR="00DE0318">
        <w:t xml:space="preserve"> </w:t>
      </w:r>
      <w:r w:rsidR="00DE0318">
        <w:fldChar w:fldCharType="begin"/>
      </w:r>
      <w:r w:rsidR="00DE0318">
        <w:instrText xml:space="preserve"> ADDIN ZOTERO_ITEM CSL_CITATION {"citationID":"ZGPKRaX3","properties":{"formattedCitation":"(Henley n.d.)","plainCitation":"(Henley n.d.)","noteIndex":0},"citationItems":[{"id":354,"uris":["http://zotero.org/users/5939705/items/PA8W4V9F"],"uri":["http://zotero.org/users/5939705/items/PA8W4V9F"],"itemData":{"id":354,"type":"webpage","abstract":"Populism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schema":"https://github.com/citation-style-language/schema/raw/master/csl-citation.json"} </w:instrText>
      </w:r>
      <w:r w:rsidR="00DE0318">
        <w:fldChar w:fldCharType="separate"/>
      </w:r>
      <w:r w:rsidR="00DE0318" w:rsidRPr="00C53708">
        <w:rPr>
          <w:rFonts w:ascii="Calibri" w:hAnsi="Calibri" w:cs="Calibri"/>
        </w:rPr>
        <w:t>(Henley n.d.)</w:t>
      </w:r>
      <w:r w:rsidR="00DE0318">
        <w:fldChar w:fldCharType="end"/>
      </w:r>
      <w:r w:rsidR="00DE0318">
        <w:t>.</w:t>
      </w:r>
      <w:r w:rsidR="00132B64">
        <w:t xml:space="preserve"> </w:t>
      </w:r>
      <w:r w:rsidR="00114A4E">
        <w:t>F</w:t>
      </w:r>
      <w:r w:rsidR="00132B64">
        <w:t xml:space="preserve">actors </w:t>
      </w:r>
      <w:r w:rsidR="00114A4E">
        <w:t>which determine the style of revolt are worth examining.</w:t>
      </w:r>
    </w:p>
    <w:bookmarkEnd w:id="1"/>
    <w:p w14:paraId="6523E8C2" w14:textId="10B7973F" w:rsidR="00A74915" w:rsidRDefault="00A74915">
      <w:r>
        <w:br w:type="page"/>
      </w:r>
    </w:p>
    <w:p w14:paraId="76C2423E" w14:textId="7EEF91F0" w:rsidR="00A74915" w:rsidRDefault="00A74915" w:rsidP="00A74915">
      <w:pPr>
        <w:pStyle w:val="Bibliography"/>
      </w:pPr>
      <w:r>
        <w:lastRenderedPageBreak/>
        <w:t>Bibliography</w:t>
      </w:r>
    </w:p>
    <w:p w14:paraId="3F12D7BC" w14:textId="77777777" w:rsidR="007A0A79" w:rsidRDefault="00A74915" w:rsidP="007A0A79">
      <w:pPr>
        <w:pStyle w:val="Bibliography"/>
        <w:rPr>
          <w:rFonts w:ascii="Times New Roman" w:hAnsi="Times New Roman" w:cs="Times New Roman"/>
          <w:sz w:val="24"/>
          <w:szCs w:val="24"/>
        </w:rPr>
      </w:pPr>
      <w:r>
        <w:fldChar w:fldCharType="begin"/>
      </w:r>
      <w:r w:rsidR="0021309E">
        <w:instrText xml:space="preserve"> ADDIN ZOTERO_BIBL {"uncited":[],"omitted":[],"custom":[]} CSL_BIBLIOGRAPHY </w:instrText>
      </w:r>
      <w:r>
        <w:fldChar w:fldCharType="separate"/>
      </w:r>
      <w:r w:rsidR="007A0A79">
        <w:rPr>
          <w:rFonts w:ascii="Times New Roman" w:hAnsi="Times New Roman" w:cs="Times New Roman"/>
          <w:sz w:val="24"/>
          <w:szCs w:val="24"/>
        </w:rPr>
        <w:t>‘AIAS’. http://uva-aias.net/en/ictwss (February 17, 2020).</w:t>
      </w:r>
    </w:p>
    <w:p w14:paraId="50EB175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Roberto Perotti. 1993. </w:t>
      </w:r>
      <w:r>
        <w:rPr>
          <w:rFonts w:ascii="Times New Roman" w:hAnsi="Times New Roman" w:cs="Times New Roman"/>
          <w:i/>
          <w:iCs/>
          <w:sz w:val="24"/>
          <w:szCs w:val="24"/>
        </w:rPr>
        <w:t>Income Distribution, Political Instability, and Investment</w:t>
      </w:r>
      <w:r>
        <w:rPr>
          <w:rFonts w:ascii="Times New Roman" w:hAnsi="Times New Roman" w:cs="Times New Roman"/>
          <w:sz w:val="24"/>
          <w:szCs w:val="24"/>
        </w:rPr>
        <w:t>. National Bureau of Economic Research. Working Paper. http://www.nber.org/papers/w4486 (January 4, 2020).</w:t>
      </w:r>
    </w:p>
    <w:p w14:paraId="65EA7E54"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Nouriel Roubini, and Gerald D. Cohen. 1997. </w:t>
      </w:r>
      <w:r>
        <w:rPr>
          <w:rFonts w:ascii="Times New Roman" w:hAnsi="Times New Roman" w:cs="Times New Roman"/>
          <w:i/>
          <w:iCs/>
          <w:sz w:val="24"/>
          <w:szCs w:val="24"/>
        </w:rPr>
        <w:t>Political Cycles and the Macroeconomy</w:t>
      </w:r>
      <w:r>
        <w:rPr>
          <w:rFonts w:ascii="Times New Roman" w:hAnsi="Times New Roman" w:cs="Times New Roman"/>
          <w:sz w:val="24"/>
          <w:szCs w:val="24"/>
        </w:rPr>
        <w:t>. Cambridge, Mass: MIT Press.</w:t>
      </w:r>
    </w:p>
    <w:p w14:paraId="6FFD38A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Lawrence H. Summers. 1993. ‘Central Bank Independence and Macroeconomic Performance: Some Comparative Evidence’.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25(2): 151–62.</w:t>
      </w:r>
    </w:p>
    <w:p w14:paraId="60742EB8"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Anderson, Christopher J. 2007. ‘The End of Economic Voting? Contingency Dilemmas and the Limits of Democratic Accountability’.</w:t>
      </w:r>
    </w:p>
    <w:p w14:paraId="64313C0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Arellano, Manuel, and Stephen Bond. 1991. ‘Some Tests of Specification for Panel Data: Monte Carlo Evidence and an Application to Employment Equations’. </w:t>
      </w:r>
      <w:r>
        <w:rPr>
          <w:rFonts w:ascii="Times New Roman" w:hAnsi="Times New Roman" w:cs="Times New Roman"/>
          <w:i/>
          <w:iCs/>
          <w:sz w:val="24"/>
          <w:szCs w:val="24"/>
        </w:rPr>
        <w:t>The Review of Economic Studies</w:t>
      </w:r>
      <w:r>
        <w:rPr>
          <w:rFonts w:ascii="Times New Roman" w:hAnsi="Times New Roman" w:cs="Times New Roman"/>
          <w:sz w:val="24"/>
          <w:szCs w:val="24"/>
        </w:rPr>
        <w:t xml:space="preserve"> 58(2): 277.</w:t>
      </w:r>
    </w:p>
    <w:p w14:paraId="4FD7F98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Bassompierre, Leanne de. ‘Ivorian President Reiterates Support for Euro-Pegged Currency - Bloomberg’. https://www.bloomberg.com/news/articles/2019-02-16/ivorian-president-reiterates-support-for-euro-pegged-currency (February 9, 2020).</w:t>
      </w:r>
    </w:p>
    <w:p w14:paraId="2B8CCA5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Bernanke, Ben S. 2015. ‘The Taylor Rule: A Benchmark for Monetary Policy?’ </w:t>
      </w:r>
      <w:r>
        <w:rPr>
          <w:rFonts w:ascii="Times New Roman" w:hAnsi="Times New Roman" w:cs="Times New Roman"/>
          <w:i/>
          <w:iCs/>
          <w:sz w:val="24"/>
          <w:szCs w:val="24"/>
        </w:rPr>
        <w:t>Brookings</w:t>
      </w:r>
      <w:r>
        <w:rPr>
          <w:rFonts w:ascii="Times New Roman" w:hAnsi="Times New Roman" w:cs="Times New Roman"/>
          <w:sz w:val="24"/>
          <w:szCs w:val="24"/>
        </w:rPr>
        <w:t>. https://www.brookings.edu/blog/ben-bernanke/2015/04/28/the-taylor-rule-a-benchmark-for-monetary-policy/ (January 11, 2020).</w:t>
      </w:r>
    </w:p>
    <w:p w14:paraId="533A858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J. Lawrence Broz, and William Roberts Clark. 2002. ‘The Political Economy of Monetary Institutions’.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693–723.</w:t>
      </w:r>
    </w:p>
    <w:p w14:paraId="0722634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and David Leblang. 2002. ‘Political Parties and Monetary Commitments’.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803–30.</w:t>
      </w:r>
    </w:p>
    <w:p w14:paraId="4D47EB65"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Blomberg, S Brock, Jeffry Frieden, and Ernesto Stein. ‘SUSTAINING FIXED RATES: THE POLITICAL ECONOMY OF CURRENCY PEGS IN LATIN AMERICA’. </w:t>
      </w:r>
      <w:r>
        <w:rPr>
          <w:rFonts w:ascii="Times New Roman" w:hAnsi="Times New Roman" w:cs="Times New Roman"/>
          <w:i/>
          <w:iCs/>
          <w:sz w:val="24"/>
          <w:szCs w:val="24"/>
        </w:rPr>
        <w:t>JOURNAL OF APPLIED ECONOMICS</w:t>
      </w:r>
      <w:r>
        <w:rPr>
          <w:rFonts w:ascii="Times New Roman" w:hAnsi="Times New Roman" w:cs="Times New Roman"/>
          <w:sz w:val="24"/>
          <w:szCs w:val="24"/>
        </w:rPr>
        <w:t>: 23.</w:t>
      </w:r>
    </w:p>
    <w:p w14:paraId="5B1E4F8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Bodea, Cristina, and Masaaki Higashijima. 2017. </w:t>
      </w:r>
      <w:r>
        <w:rPr>
          <w:rFonts w:ascii="Times New Roman" w:hAnsi="Times New Roman" w:cs="Times New Roman"/>
          <w:i/>
          <w:iCs/>
          <w:sz w:val="24"/>
          <w:szCs w:val="24"/>
        </w:rPr>
        <w:t>Central Bank Independence and Fiscal Policy: Can the Central Bank Restrain Deficit Spending?</w:t>
      </w:r>
      <w:r>
        <w:rPr>
          <w:rFonts w:ascii="Times New Roman" w:hAnsi="Times New Roman" w:cs="Times New Roman"/>
          <w:sz w:val="24"/>
          <w:szCs w:val="24"/>
        </w:rPr>
        <w:t xml:space="preserve"> Rochester, NY: Social Science Research Network. SSRN Scholarly Paper. https://papers.ssrn.com/abstract=2952266 (January 5, 2020).</w:t>
      </w:r>
    </w:p>
    <w:p w14:paraId="34DE56C5"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Broz, J. Lawrence. 2002. ‘Political System Transparency and Monetary Commitment Regimes’.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861–87.</w:t>
      </w:r>
    </w:p>
    <w:p w14:paraId="50B3A42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‘Can Trump Fire Fed Chair Jerome Powell? What History Tells Us’. </w:t>
      </w:r>
      <w:r>
        <w:rPr>
          <w:rFonts w:ascii="Times New Roman" w:hAnsi="Times New Roman" w:cs="Times New Roman"/>
          <w:i/>
          <w:iCs/>
          <w:sz w:val="24"/>
          <w:szCs w:val="24"/>
        </w:rPr>
        <w:t>Fortune</w:t>
      </w:r>
      <w:r>
        <w:rPr>
          <w:rFonts w:ascii="Times New Roman" w:hAnsi="Times New Roman" w:cs="Times New Roman"/>
          <w:sz w:val="24"/>
          <w:szCs w:val="24"/>
        </w:rPr>
        <w:t>. https://fortune.com/2019/06/19/can-trump-fire-jerome-powell/ (January 8, 2020).</w:t>
      </w:r>
    </w:p>
    <w:p w14:paraId="16AD24D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Card, David. 1999. ‘The Causal Effect of Education on Earnings’. In </w:t>
      </w:r>
      <w:r>
        <w:rPr>
          <w:rFonts w:ascii="Times New Roman" w:hAnsi="Times New Roman" w:cs="Times New Roman"/>
          <w:i/>
          <w:iCs/>
          <w:sz w:val="24"/>
          <w:szCs w:val="24"/>
        </w:rPr>
        <w:t>Handbook of Labor Economics</w:t>
      </w:r>
      <w:r>
        <w:rPr>
          <w:rFonts w:ascii="Times New Roman" w:hAnsi="Times New Roman" w:cs="Times New Roman"/>
          <w:sz w:val="24"/>
          <w:szCs w:val="24"/>
        </w:rPr>
        <w:t>, Elsevier, 1801–63. https://linkinghub.elsevier.com/retrieve/pii/S1573446399030114 (January 4, 2020).</w:t>
      </w:r>
    </w:p>
    <w:p w14:paraId="0B6A25B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Chinn, Menzie D, and Hiro Ito. ‘What Matters for Financial Development? Capital Controls, Institutions, and Interactions’. : 45.</w:t>
      </w:r>
    </w:p>
    <w:p w14:paraId="0234C0E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 Sona N. Golder, and Paul Poast. 2013. ‘Monetary Institutions and the Political Survival of Democratic Leaders: </w:t>
      </w:r>
      <w:r>
        <w:rPr>
          <w:rFonts w:ascii="Times New Roman" w:hAnsi="Times New Roman" w:cs="Times New Roman"/>
          <w:i/>
          <w:iCs/>
          <w:sz w:val="24"/>
          <w:szCs w:val="24"/>
        </w:rPr>
        <w:t>Political Survival of Democratic Leaders</w:t>
      </w:r>
      <w:r>
        <w:rPr>
          <w:rFonts w:ascii="Times New Roman" w:hAnsi="Times New Roman" w:cs="Times New Roman"/>
          <w:sz w:val="24"/>
          <w:szCs w:val="24"/>
        </w:rPr>
        <w:t xml:space="preserve">’. </w:t>
      </w:r>
      <w:r>
        <w:rPr>
          <w:rFonts w:ascii="Times New Roman" w:hAnsi="Times New Roman" w:cs="Times New Roman"/>
          <w:i/>
          <w:iCs/>
          <w:sz w:val="24"/>
          <w:szCs w:val="24"/>
        </w:rPr>
        <w:t>International Studies Quarterly</w:t>
      </w:r>
      <w:r>
        <w:rPr>
          <w:rFonts w:ascii="Times New Roman" w:hAnsi="Times New Roman" w:cs="Times New Roman"/>
          <w:sz w:val="24"/>
          <w:szCs w:val="24"/>
        </w:rPr>
        <w:t xml:space="preserve"> 57(3): 556–67.</w:t>
      </w:r>
    </w:p>
    <w:p w14:paraId="3CD85FD0"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Roberts, Usha Nair Reichert, Sandra Lynn Lomas, and Kevin L. Parker. 1998. ‘International and Domestic Constraints on Political Business Cycles in OECD Economies’.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52(1): 87–120.</w:t>
      </w:r>
    </w:p>
    <w:p w14:paraId="53E093D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correspondentEmailEmailBioBioFollowFollow, Heather Long closeHeather LongEconomics. ‘Federal Reserve Makes Small Interest Rate Cut. Trump Slams Central Bank for Having “No Guts.”’ </w:t>
      </w:r>
      <w:r>
        <w:rPr>
          <w:rFonts w:ascii="Times New Roman" w:hAnsi="Times New Roman" w:cs="Times New Roman"/>
          <w:i/>
          <w:iCs/>
          <w:sz w:val="24"/>
          <w:szCs w:val="24"/>
        </w:rPr>
        <w:t>Washington Post</w:t>
      </w:r>
      <w:r>
        <w:rPr>
          <w:rFonts w:ascii="Times New Roman" w:hAnsi="Times New Roman" w:cs="Times New Roman"/>
          <w:sz w:val="24"/>
          <w:szCs w:val="24"/>
        </w:rPr>
        <w:t>. https://www.washingtonpost.com/business/2019/09/18/federal-reserve-cuts-interest-rates-quarter-point-counter-trumps-trade-war/ (January 8, 2020).</w:t>
      </w:r>
    </w:p>
    <w:p w14:paraId="69958C4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Crowe, Christopher, and Ellen E Meade. ‘Central Bank Independence and Transparency: Evolution and Effectiveness’. : 30.</w:t>
      </w:r>
    </w:p>
    <w:p w14:paraId="2934725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1992. </w:t>
      </w:r>
      <w:r>
        <w:rPr>
          <w:rFonts w:ascii="Times New Roman" w:hAnsi="Times New Roman" w:cs="Times New Roman"/>
          <w:i/>
          <w:iCs/>
          <w:sz w:val="24"/>
          <w:szCs w:val="24"/>
        </w:rPr>
        <w:t>Central Bank Strategy, Credibility, and Independence: Theory and Evidence</w:t>
      </w:r>
      <w:r>
        <w:rPr>
          <w:rFonts w:ascii="Times New Roman" w:hAnsi="Times New Roman" w:cs="Times New Roman"/>
          <w:sz w:val="24"/>
          <w:szCs w:val="24"/>
        </w:rPr>
        <w:t>. Cambridge, Mass: MIT Press.</w:t>
      </w:r>
    </w:p>
    <w:p w14:paraId="5C12491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and Steven B. Webb. 1995. ‘Political Influence on the Central Bank: International Evidence’.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9(3): 397–423.</w:t>
      </w:r>
    </w:p>
    <w:p w14:paraId="448A017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Steven B. Webb, and Bilin Neyapti. 1992. ‘Measuring the Independence of Central Banks and Its Effect on Policy Outcomes’.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6(3): 353–98.</w:t>
      </w:r>
    </w:p>
    <w:p w14:paraId="7D682353"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Diwan, Ishac. 2020. ‘Lebanon’s Perfect Storm | by Ishac Diwan’. </w:t>
      </w:r>
      <w:r>
        <w:rPr>
          <w:rFonts w:ascii="Times New Roman" w:hAnsi="Times New Roman" w:cs="Times New Roman"/>
          <w:i/>
          <w:iCs/>
          <w:sz w:val="24"/>
          <w:szCs w:val="24"/>
        </w:rPr>
        <w:t>Project Syndicate</w:t>
      </w:r>
      <w:r>
        <w:rPr>
          <w:rFonts w:ascii="Times New Roman" w:hAnsi="Times New Roman" w:cs="Times New Roman"/>
          <w:sz w:val="24"/>
          <w:szCs w:val="24"/>
        </w:rPr>
        <w:t>. https://www.project-syndicate.org/commentary/lebanon-political-economic-crises-protests-by-ishac-diwan (January 9, 2020).</w:t>
      </w:r>
    </w:p>
    <w:p w14:paraId="1F201E3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Downs, Anthony. 1957. ‘An Economic Theory of Political Action in a Democracy’. </w:t>
      </w:r>
      <w:r>
        <w:rPr>
          <w:rFonts w:ascii="Times New Roman" w:hAnsi="Times New Roman" w:cs="Times New Roman"/>
          <w:i/>
          <w:iCs/>
          <w:sz w:val="24"/>
          <w:szCs w:val="24"/>
        </w:rPr>
        <w:t>Journal of Political Economy</w:t>
      </w:r>
      <w:r>
        <w:rPr>
          <w:rFonts w:ascii="Times New Roman" w:hAnsi="Times New Roman" w:cs="Times New Roman"/>
          <w:sz w:val="24"/>
          <w:szCs w:val="24"/>
        </w:rPr>
        <w:t xml:space="preserve"> 65(2): 135–50.</w:t>
      </w:r>
    </w:p>
    <w:p w14:paraId="2E33EF9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Dreher, Axel, Jan-Egbert Sturm, and Jakob de Haan. 2010. ‘When Is a Central Bank Governor Replaced? Evidence Based on a New Data Set’. </w:t>
      </w:r>
      <w:r>
        <w:rPr>
          <w:rFonts w:ascii="Times New Roman" w:hAnsi="Times New Roman" w:cs="Times New Roman"/>
          <w:i/>
          <w:iCs/>
          <w:sz w:val="24"/>
          <w:szCs w:val="24"/>
        </w:rPr>
        <w:t>Journal of Macroeconomics</w:t>
      </w:r>
      <w:r>
        <w:rPr>
          <w:rFonts w:ascii="Times New Roman" w:hAnsi="Times New Roman" w:cs="Times New Roman"/>
          <w:sz w:val="24"/>
          <w:szCs w:val="24"/>
        </w:rPr>
        <w:t xml:space="preserve"> 32(3): 766–81.</w:t>
      </w:r>
    </w:p>
    <w:p w14:paraId="197B0B8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Eichengreen, Barry, and Ricardo Hausmann. 2005. </w:t>
      </w:r>
      <w:r>
        <w:rPr>
          <w:rFonts w:ascii="Times New Roman" w:hAnsi="Times New Roman" w:cs="Times New Roman"/>
          <w:i/>
          <w:iCs/>
          <w:sz w:val="24"/>
          <w:szCs w:val="24"/>
        </w:rPr>
        <w:t>Other People’s Money: Debt Denomination and Financial Instability in Emerging Market Economies</w:t>
      </w:r>
      <w:r>
        <w:rPr>
          <w:rFonts w:ascii="Times New Roman" w:hAnsi="Times New Roman" w:cs="Times New Roman"/>
          <w:sz w:val="24"/>
          <w:szCs w:val="24"/>
        </w:rPr>
        <w:t>. University of Chicago Press. http://www.bibliovault.org/BV.landing.epl?ISBN=9780226194554 (January 10, 2020).</w:t>
      </w:r>
    </w:p>
    <w:p w14:paraId="20764988"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Eijffinger, Sylvester C. W., and Jakob de Haan. 1996. </w:t>
      </w:r>
      <w:r>
        <w:rPr>
          <w:rFonts w:ascii="Times New Roman" w:hAnsi="Times New Roman" w:cs="Times New Roman"/>
          <w:i/>
          <w:iCs/>
          <w:sz w:val="24"/>
          <w:szCs w:val="24"/>
        </w:rPr>
        <w:t>The Political Economy of Central-Bank Independence</w:t>
      </w:r>
      <w:r>
        <w:rPr>
          <w:rFonts w:ascii="Times New Roman" w:hAnsi="Times New Roman" w:cs="Times New Roman"/>
          <w:sz w:val="24"/>
          <w:szCs w:val="24"/>
        </w:rPr>
        <w:t>. Princeton, N.J: International Finance Section, Dept. of Economics, Princeton University.</w:t>
      </w:r>
    </w:p>
    <w:p w14:paraId="74EFBA2C"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‘Fed Appointments | IGM Forum’. http://www.igmchicago.org/surveys/fed-appointments (January 20, 2020).</w:t>
      </w:r>
    </w:p>
    <w:p w14:paraId="2BC62D0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Fels, Joachim. ‘The Downside of Central Bank Independence’. </w:t>
      </w:r>
      <w:r>
        <w:rPr>
          <w:rFonts w:ascii="Times New Roman" w:hAnsi="Times New Roman" w:cs="Times New Roman"/>
          <w:i/>
          <w:iCs/>
          <w:sz w:val="24"/>
          <w:szCs w:val="24"/>
        </w:rPr>
        <w:t>Pacific Investment Management Company LLC</w:t>
      </w:r>
      <w:r>
        <w:rPr>
          <w:rFonts w:ascii="Times New Roman" w:hAnsi="Times New Roman" w:cs="Times New Roman"/>
          <w:sz w:val="24"/>
          <w:szCs w:val="24"/>
        </w:rPr>
        <w:t>. https://www.pimco.com/en-us/insights/economic-and-market-commentary/macro-perspectives/the-downside-of-central-bank-independence (January 11, 2020).</w:t>
      </w:r>
    </w:p>
    <w:p w14:paraId="6CBA8044" w14:textId="77777777" w:rsidR="007A0A79" w:rsidRDefault="007A0A79" w:rsidP="007A0A79">
      <w:pPr>
        <w:pStyle w:val="Bibliography"/>
        <w:rPr>
          <w:rFonts w:ascii="Times New Roman" w:hAnsi="Times New Roman" w:cs="Times New Roman"/>
          <w:sz w:val="24"/>
          <w:szCs w:val="24"/>
        </w:rPr>
      </w:pPr>
      <w:r w:rsidRPr="007A0A79">
        <w:rPr>
          <w:rFonts w:ascii="Times New Roman" w:hAnsi="Times New Roman" w:cs="Times New Roman"/>
          <w:sz w:val="24"/>
          <w:szCs w:val="24"/>
          <w:lang w:val="fr-BE"/>
        </w:rP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rFonts w:ascii="Times New Roman" w:hAnsi="Times New Roman" w:cs="Times New Roman"/>
          <w:i/>
          <w:iCs/>
          <w:sz w:val="24"/>
          <w:szCs w:val="24"/>
        </w:rPr>
        <w:t>Staff Papers (International Monetary Fund)</w:t>
      </w:r>
      <w:r>
        <w:rPr>
          <w:rFonts w:ascii="Times New Roman" w:hAnsi="Times New Roman" w:cs="Times New Roman"/>
          <w:sz w:val="24"/>
          <w:szCs w:val="24"/>
        </w:rPr>
        <w:t xml:space="preserve"> 9(3): 369–80.</w:t>
      </w:r>
    </w:p>
    <w:p w14:paraId="49D7B44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Fortunato, David, and Matt W. Loftis. 2018. ‘Cabinet Durability and Fiscal Discipline’.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112(4): 939–53.</w:t>
      </w:r>
    </w:p>
    <w:p w14:paraId="732BE02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Freedom House. 2017. ‘Modern Authoritarianism: Elections’. https://freedomhouse.org/report/modern-authoritarianism-elections (February 9, 2020).</w:t>
      </w:r>
    </w:p>
    <w:p w14:paraId="7542581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Frieden, Jeffry A. 2015. ‘A Theory of Currency Policy Preferences’. In </w:t>
      </w:r>
      <w:r>
        <w:rPr>
          <w:rFonts w:ascii="Times New Roman" w:hAnsi="Times New Roman" w:cs="Times New Roman"/>
          <w:i/>
          <w:iCs/>
          <w:sz w:val="24"/>
          <w:szCs w:val="24"/>
        </w:rPr>
        <w:t>Currency Politics</w:t>
      </w:r>
      <w:r>
        <w:rPr>
          <w:rFonts w:ascii="Times New Roman" w:hAnsi="Times New Roman" w:cs="Times New Roman"/>
          <w:sz w:val="24"/>
          <w:szCs w:val="24"/>
        </w:rPr>
        <w:t>, The Political Economy of Exchange Rate Policy, Princeton University Press, 19–48. https://www.jstor.org/stable/j.ctt9qh0gz.6 (January 10, 2020).</w:t>
      </w:r>
    </w:p>
    <w:p w14:paraId="0D3B096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Friedman, Milton. 1953. </w:t>
      </w:r>
      <w:r>
        <w:rPr>
          <w:rFonts w:ascii="Times New Roman" w:hAnsi="Times New Roman" w:cs="Times New Roman"/>
          <w:i/>
          <w:iCs/>
          <w:sz w:val="24"/>
          <w:szCs w:val="24"/>
        </w:rPr>
        <w:t>Essays in Positive Economics</w:t>
      </w:r>
      <w:r>
        <w:rPr>
          <w:rFonts w:ascii="Times New Roman" w:hAnsi="Times New Roman" w:cs="Times New Roman"/>
          <w:sz w:val="24"/>
          <w:szCs w:val="24"/>
        </w:rPr>
        <w:t>. https://www.press.uchicago.edu/ucp/books/book/chicago/E/bo25773835.html (February 10, 2020).</w:t>
      </w:r>
    </w:p>
    <w:p w14:paraId="2CE4AF8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Garriga, Ana Carolina. 2016. ‘Central Bank Independence in the World: A New Data Set’. </w:t>
      </w:r>
      <w:r>
        <w:rPr>
          <w:rFonts w:ascii="Times New Roman" w:hAnsi="Times New Roman" w:cs="Times New Roman"/>
          <w:i/>
          <w:iCs/>
          <w:sz w:val="24"/>
          <w:szCs w:val="24"/>
        </w:rPr>
        <w:t>International Interactions</w:t>
      </w:r>
      <w:r>
        <w:rPr>
          <w:rFonts w:ascii="Times New Roman" w:hAnsi="Times New Roman" w:cs="Times New Roman"/>
          <w:sz w:val="24"/>
          <w:szCs w:val="24"/>
        </w:rPr>
        <w:t>.</w:t>
      </w:r>
    </w:p>
    <w:p w14:paraId="5C2E923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Goodman, John B. 1991. ‘The Politics of Central Bank Independence’. </w:t>
      </w:r>
      <w:r>
        <w:rPr>
          <w:rFonts w:ascii="Times New Roman" w:hAnsi="Times New Roman" w:cs="Times New Roman"/>
          <w:i/>
          <w:iCs/>
          <w:sz w:val="24"/>
          <w:szCs w:val="24"/>
        </w:rPr>
        <w:t>Comparative Politics</w:t>
      </w:r>
      <w:r>
        <w:rPr>
          <w:rFonts w:ascii="Times New Roman" w:hAnsi="Times New Roman" w:cs="Times New Roman"/>
          <w:sz w:val="24"/>
          <w:szCs w:val="24"/>
        </w:rPr>
        <w:t xml:space="preserve"> 23(3): 329–49.</w:t>
      </w:r>
    </w:p>
    <w:p w14:paraId="01ACA02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Grilli, Vittorio et al. 1991. ‘Political and Monetary Institutions and Public Financial Policies in the Industrial Countries’. </w:t>
      </w:r>
      <w:r>
        <w:rPr>
          <w:rFonts w:ascii="Times New Roman" w:hAnsi="Times New Roman" w:cs="Times New Roman"/>
          <w:i/>
          <w:iCs/>
          <w:sz w:val="24"/>
          <w:szCs w:val="24"/>
        </w:rPr>
        <w:t>Economic Policy</w:t>
      </w:r>
      <w:r>
        <w:rPr>
          <w:rFonts w:ascii="Times New Roman" w:hAnsi="Times New Roman" w:cs="Times New Roman"/>
          <w:sz w:val="24"/>
          <w:szCs w:val="24"/>
        </w:rPr>
        <w:t xml:space="preserve"> 6(13): 342–92.</w:t>
      </w:r>
    </w:p>
    <w:p w14:paraId="5688ACE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Guisinger, Alexandra. 2009. ‘Determining Trade Policy: Do Voters Hold Politicians Accountable?’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63(3): 533–57.</w:t>
      </w:r>
    </w:p>
    <w:p w14:paraId="545E886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de Haan, Jakob, and Gert Jan van’t Hag. 1995. ‘Variation in Central Bank Independence across Countries: Some Provisional Empirical Evidence’. </w:t>
      </w:r>
      <w:r>
        <w:rPr>
          <w:rFonts w:ascii="Times New Roman" w:hAnsi="Times New Roman" w:cs="Times New Roman"/>
          <w:i/>
          <w:iCs/>
          <w:sz w:val="24"/>
          <w:szCs w:val="24"/>
        </w:rPr>
        <w:t>Public Choice</w:t>
      </w:r>
      <w:r>
        <w:rPr>
          <w:rFonts w:ascii="Times New Roman" w:hAnsi="Times New Roman" w:cs="Times New Roman"/>
          <w:sz w:val="24"/>
          <w:szCs w:val="24"/>
        </w:rPr>
        <w:t xml:space="preserve"> 85(3): 335–51.</w:t>
      </w:r>
    </w:p>
    <w:p w14:paraId="49A4419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Haan, Jakob De, and Clemens L. J. Siermann. 1996. ‘Central Bank Independence, Inflation and Political Instability in Developing Countries’. </w:t>
      </w:r>
      <w:r>
        <w:rPr>
          <w:rFonts w:ascii="Times New Roman" w:hAnsi="Times New Roman" w:cs="Times New Roman"/>
          <w:i/>
          <w:iCs/>
          <w:sz w:val="24"/>
          <w:szCs w:val="24"/>
        </w:rPr>
        <w:t>The Journal of Policy Reform</w:t>
      </w:r>
      <w:r>
        <w:rPr>
          <w:rFonts w:ascii="Times New Roman" w:hAnsi="Times New Roman" w:cs="Times New Roman"/>
          <w:sz w:val="24"/>
          <w:szCs w:val="24"/>
        </w:rPr>
        <w:t xml:space="preserve"> 1(2): 135–47.</w:t>
      </w:r>
    </w:p>
    <w:p w14:paraId="3D74499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Hall, Peter A., and Robert J. Franzese. 1998. ‘Mixed Signals: Central Bank Independence, Coordinated Wage Bargaining, and European Monetary Union’.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52(3): 505–35.</w:t>
      </w:r>
    </w:p>
    <w:p w14:paraId="31371D1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Henley, Jon. ‘How Populism Swept through Europe over 20 Years’. </w:t>
      </w:r>
      <w:r>
        <w:rPr>
          <w:rFonts w:ascii="Times New Roman" w:hAnsi="Times New Roman" w:cs="Times New Roman"/>
          <w:i/>
          <w:iCs/>
          <w:sz w:val="24"/>
          <w:szCs w:val="24"/>
        </w:rPr>
        <w:t>the Guardian</w:t>
      </w:r>
      <w:r>
        <w:rPr>
          <w:rFonts w:ascii="Times New Roman" w:hAnsi="Times New Roman" w:cs="Times New Roman"/>
          <w:sz w:val="24"/>
          <w:szCs w:val="24"/>
        </w:rPr>
        <w:t>. http://www.theguardian.com/world/ng-interactive/2018/nov/20/how-populism-emerged-as-electoral-force-in-europe (January 20, 2020).</w:t>
      </w:r>
    </w:p>
    <w:p w14:paraId="2A64A86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Hibbs Jr, Douglas. 1973. 7 </w:t>
      </w:r>
      <w:r>
        <w:rPr>
          <w:rFonts w:ascii="Times New Roman" w:hAnsi="Times New Roman" w:cs="Times New Roman"/>
          <w:i/>
          <w:iCs/>
          <w:sz w:val="24"/>
          <w:szCs w:val="24"/>
        </w:rPr>
        <w:t>Mass Political Violence: A Cross-National Causal Analysis</w:t>
      </w:r>
      <w:r>
        <w:rPr>
          <w:rFonts w:ascii="Times New Roman" w:hAnsi="Times New Roman" w:cs="Times New Roman"/>
          <w:sz w:val="24"/>
          <w:szCs w:val="24"/>
        </w:rPr>
        <w:t>.</w:t>
      </w:r>
    </w:p>
    <w:p w14:paraId="729DE443"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Huntington, Samuel P. 1976. </w:t>
      </w:r>
      <w:r>
        <w:rPr>
          <w:rFonts w:ascii="Times New Roman" w:hAnsi="Times New Roman" w:cs="Times New Roman"/>
          <w:i/>
          <w:iCs/>
          <w:sz w:val="24"/>
          <w:szCs w:val="24"/>
        </w:rPr>
        <w:t>Political Order in Changing Societies</w:t>
      </w:r>
      <w:r>
        <w:rPr>
          <w:rFonts w:ascii="Times New Roman" w:hAnsi="Times New Roman" w:cs="Times New Roman"/>
          <w:sz w:val="24"/>
          <w:szCs w:val="24"/>
        </w:rPr>
        <w:t>. 11. printing. New Haven: Yale Univ. Press.</w:t>
      </w:r>
    </w:p>
    <w:p w14:paraId="2E4AE4E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‘IMF AREAER Database’. https://www.elibrary-areaer.imf.org/Pages/ERClassifcation.aspx (February 19, 2020).</w:t>
      </w:r>
    </w:p>
    <w:p w14:paraId="0A3CA12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‘IRR Data’. </w:t>
      </w:r>
      <w:r>
        <w:rPr>
          <w:rFonts w:ascii="Times New Roman" w:hAnsi="Times New Roman" w:cs="Times New Roman"/>
          <w:i/>
          <w:iCs/>
          <w:sz w:val="24"/>
          <w:szCs w:val="24"/>
        </w:rPr>
        <w:t>Ethan Ilzetzki</w:t>
      </w:r>
      <w:r>
        <w:rPr>
          <w:rFonts w:ascii="Times New Roman" w:hAnsi="Times New Roman" w:cs="Times New Roman"/>
          <w:sz w:val="24"/>
          <w:szCs w:val="24"/>
        </w:rPr>
        <w:t>. https://www.ilzetzki.com/irr-data (January 4, 2020).</w:t>
      </w:r>
    </w:p>
    <w:p w14:paraId="53000FB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Kenworthy, Lane. 2003. ‘Quantitative Indicators of Corporatism’. </w:t>
      </w:r>
      <w:r>
        <w:rPr>
          <w:rFonts w:ascii="Times New Roman" w:hAnsi="Times New Roman" w:cs="Times New Roman"/>
          <w:i/>
          <w:iCs/>
          <w:sz w:val="24"/>
          <w:szCs w:val="24"/>
        </w:rPr>
        <w:t>International Journal of Sociology</w:t>
      </w:r>
      <w:r>
        <w:rPr>
          <w:rFonts w:ascii="Times New Roman" w:hAnsi="Times New Roman" w:cs="Times New Roman"/>
          <w:sz w:val="24"/>
          <w:szCs w:val="24"/>
        </w:rPr>
        <w:t xml:space="preserve"> 33(3): 10–44.</w:t>
      </w:r>
    </w:p>
    <w:p w14:paraId="4467CD8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Kroeber, Arthur R. 2011. ‘The Renminbi: The Political Economy of a Currency’. </w:t>
      </w:r>
      <w:r>
        <w:rPr>
          <w:rFonts w:ascii="Times New Roman" w:hAnsi="Times New Roman" w:cs="Times New Roman"/>
          <w:i/>
          <w:iCs/>
          <w:sz w:val="24"/>
          <w:szCs w:val="24"/>
        </w:rPr>
        <w:t>Brookings</w:t>
      </w:r>
      <w:r>
        <w:rPr>
          <w:rFonts w:ascii="Times New Roman" w:hAnsi="Times New Roman" w:cs="Times New Roman"/>
          <w:sz w:val="24"/>
          <w:szCs w:val="24"/>
        </w:rPr>
        <w:t>. https://www.brookings.edu/research/the-renminbi-the-political-economy-of-a-currency/ (February 9, 2020).</w:t>
      </w:r>
    </w:p>
    <w:p w14:paraId="5D456D8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Krugman, Paul. 1979. ‘A Model of Balance-of-Payments Crises’.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11(3): 311–25.</w:t>
      </w:r>
    </w:p>
    <w:p w14:paraId="4B8846BC"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 2011. ‘Opinion | An Impeccable Disaster’. </w:t>
      </w:r>
      <w:r>
        <w:rPr>
          <w:rFonts w:ascii="Times New Roman" w:hAnsi="Times New Roman" w:cs="Times New Roman"/>
          <w:i/>
          <w:iCs/>
          <w:sz w:val="24"/>
          <w:szCs w:val="24"/>
        </w:rPr>
        <w:t>The New York Times</w:t>
      </w:r>
      <w:r>
        <w:rPr>
          <w:rFonts w:ascii="Times New Roman" w:hAnsi="Times New Roman" w:cs="Times New Roman"/>
          <w:sz w:val="24"/>
          <w:szCs w:val="24"/>
        </w:rPr>
        <w:t>. https://www.nytimes.com/2011/09/12/opinion/an-impeccable-disaster.html (February 2, 2020).</w:t>
      </w:r>
    </w:p>
    <w:p w14:paraId="460E80F3"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Leblang, David, and William Bernhard. 2000. ‘The Politics of Speculative Attacks in Industrial Democracies’.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54(2): 291–324.</w:t>
      </w:r>
    </w:p>
    <w:p w14:paraId="3575BE4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Lewis-Beck, Michael S., and Mary Stegmaier. 2019. ‘Economic Voting’. </w:t>
      </w:r>
      <w:r>
        <w:rPr>
          <w:rFonts w:ascii="Times New Roman" w:hAnsi="Times New Roman" w:cs="Times New Roman"/>
          <w:i/>
          <w:iCs/>
          <w:sz w:val="24"/>
          <w:szCs w:val="24"/>
        </w:rPr>
        <w:t>The Oxford Handbook of Public Choice, Volume 1</w:t>
      </w:r>
      <w:r>
        <w:rPr>
          <w:rFonts w:ascii="Times New Roman" w:hAnsi="Times New Roman" w:cs="Times New Roman"/>
          <w:sz w:val="24"/>
          <w:szCs w:val="24"/>
        </w:rPr>
        <w:t>. https://www.oxfordhandbooks.com/view/10.1093/oxfordhb/9780190469733.001.0001/oxfordhb-9780190469733-e-12 (January 10, 2020).</w:t>
      </w:r>
    </w:p>
    <w:p w14:paraId="01114EA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Lijphart, Arend. 2012. </w:t>
      </w:r>
      <w:r>
        <w:rPr>
          <w:rFonts w:ascii="Times New Roman" w:hAnsi="Times New Roman" w:cs="Times New Roman"/>
          <w:i/>
          <w:iCs/>
          <w:sz w:val="24"/>
          <w:szCs w:val="24"/>
        </w:rPr>
        <w:t>Patterns of Democracy: Government Forms and Performance in Thirty-Six Countries</w:t>
      </w:r>
      <w:r>
        <w:rPr>
          <w:rFonts w:ascii="Times New Roman" w:hAnsi="Times New Roman" w:cs="Times New Roman"/>
          <w:sz w:val="24"/>
          <w:szCs w:val="24"/>
        </w:rPr>
        <w:t>. 2nd ed. New Haven: Yale University Press.</w:t>
      </w:r>
    </w:p>
    <w:p w14:paraId="10036AF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MacKuen, Michael B., Robert S. Erikson, and James A. Stimson. 1992. ‘Peasants or Bankers? The American Electorate and the U.S. Economy’. </w:t>
      </w:r>
      <w:r>
        <w:rPr>
          <w:rFonts w:ascii="Times New Roman" w:hAnsi="Times New Roman" w:cs="Times New Roman"/>
          <w:i/>
          <w:iCs/>
          <w:sz w:val="24"/>
          <w:szCs w:val="24"/>
        </w:rPr>
        <w:t>The American Political Science Review</w:t>
      </w:r>
      <w:r>
        <w:rPr>
          <w:rFonts w:ascii="Times New Roman" w:hAnsi="Times New Roman" w:cs="Times New Roman"/>
          <w:sz w:val="24"/>
          <w:szCs w:val="24"/>
        </w:rPr>
        <w:t xml:space="preserve"> 86(3): 597–611.</w:t>
      </w:r>
    </w:p>
    <w:p w14:paraId="6E2B105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Maloney, John, Andrew C. Pickering, and Kaddour Hadri. 2003. ‘Political Business Cycles and Central Bank Independence*’. </w:t>
      </w:r>
      <w:r>
        <w:rPr>
          <w:rFonts w:ascii="Times New Roman" w:hAnsi="Times New Roman" w:cs="Times New Roman"/>
          <w:i/>
          <w:iCs/>
          <w:sz w:val="24"/>
          <w:szCs w:val="24"/>
        </w:rPr>
        <w:t>The Economic Journal</w:t>
      </w:r>
      <w:r>
        <w:rPr>
          <w:rFonts w:ascii="Times New Roman" w:hAnsi="Times New Roman" w:cs="Times New Roman"/>
          <w:sz w:val="24"/>
          <w:szCs w:val="24"/>
        </w:rPr>
        <w:t xml:space="preserve"> 113(486): C167–81.</w:t>
      </w:r>
    </w:p>
    <w:p w14:paraId="051FE9E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Mauro, Paolo, and Grace Juhn. 2002. ‘Long-Run Determinants of Exchange Rate Regimes : A Simple Sensitivity Analysis’. </w:t>
      </w:r>
      <w:r>
        <w:rPr>
          <w:rFonts w:ascii="Times New Roman" w:hAnsi="Times New Roman" w:cs="Times New Roman"/>
          <w:i/>
          <w:iCs/>
          <w:sz w:val="24"/>
          <w:szCs w:val="24"/>
        </w:rPr>
        <w:t>IMF eLibrary</w:t>
      </w:r>
      <w:r>
        <w:rPr>
          <w:rFonts w:ascii="Times New Roman" w:hAnsi="Times New Roman" w:cs="Times New Roman"/>
          <w:sz w:val="24"/>
          <w:szCs w:val="24"/>
        </w:rPr>
        <w:t>. https://www.elibrary.imf.org/view/IMF001/04328-9781451852776/04328-9781451852776/04328-9781451852776.xml?redirect=true (January 21, 2020).</w:t>
      </w:r>
    </w:p>
    <w:p w14:paraId="345D665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Mesquita, Bruce Bueno de, Alastair Smith, James D. Morrow, and Randolph M. Siverson. 2005. </w:t>
      </w:r>
      <w:r>
        <w:rPr>
          <w:rFonts w:ascii="Times New Roman" w:hAnsi="Times New Roman" w:cs="Times New Roman"/>
          <w:i/>
          <w:iCs/>
          <w:sz w:val="24"/>
          <w:szCs w:val="24"/>
        </w:rPr>
        <w:t>The Logic of Political Survival</w:t>
      </w:r>
      <w:r>
        <w:rPr>
          <w:rFonts w:ascii="Times New Roman" w:hAnsi="Times New Roman" w:cs="Times New Roman"/>
          <w:sz w:val="24"/>
          <w:szCs w:val="24"/>
        </w:rPr>
        <w:t>. MIT Press.</w:t>
      </w:r>
    </w:p>
    <w:p w14:paraId="7E2BD12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Michael Coppedge, John Gerring, Carl Knutsen, and Staffan Lindberg. 2020. ‘V-Dem Version 10’. </w:t>
      </w:r>
      <w:r>
        <w:rPr>
          <w:rFonts w:ascii="Times New Roman" w:hAnsi="Times New Roman" w:cs="Times New Roman"/>
          <w:i/>
          <w:iCs/>
          <w:sz w:val="24"/>
          <w:szCs w:val="24"/>
        </w:rPr>
        <w:t>Varieties of Democracy</w:t>
      </w:r>
      <w:r>
        <w:rPr>
          <w:rFonts w:ascii="Times New Roman" w:hAnsi="Times New Roman" w:cs="Times New Roman"/>
          <w:sz w:val="24"/>
          <w:szCs w:val="24"/>
        </w:rPr>
        <w:t>. https://www.v-dem.net/en/ (March 31, 2020).</w:t>
      </w:r>
    </w:p>
    <w:p w14:paraId="72038BD3"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Moser, Peter. 1999. ‘Checks and Balances, and the Supply of Central Bank Independence’. </w:t>
      </w:r>
      <w:r>
        <w:rPr>
          <w:rFonts w:ascii="Times New Roman" w:hAnsi="Times New Roman" w:cs="Times New Roman"/>
          <w:i/>
          <w:iCs/>
          <w:sz w:val="24"/>
          <w:szCs w:val="24"/>
        </w:rPr>
        <w:t>European Economic Review</w:t>
      </w:r>
      <w:r>
        <w:rPr>
          <w:rFonts w:ascii="Times New Roman" w:hAnsi="Times New Roman" w:cs="Times New Roman"/>
          <w:sz w:val="24"/>
          <w:szCs w:val="24"/>
        </w:rPr>
        <w:t xml:space="preserve"> 43(8): 1569–93.</w:t>
      </w:r>
    </w:p>
    <w:p w14:paraId="0D180296" w14:textId="77777777" w:rsidR="007A0A79" w:rsidRPr="007A0A79" w:rsidRDefault="007A0A79" w:rsidP="007A0A79">
      <w:pPr>
        <w:pStyle w:val="Bibliography"/>
        <w:rPr>
          <w:rFonts w:ascii="Times New Roman" w:hAnsi="Times New Roman" w:cs="Times New Roman"/>
          <w:sz w:val="24"/>
          <w:szCs w:val="24"/>
          <w:lang w:val="fr-BE"/>
        </w:rPr>
      </w:pPr>
      <w:r>
        <w:rPr>
          <w:rFonts w:ascii="Times New Roman" w:hAnsi="Times New Roman" w:cs="Times New Roman"/>
          <w:sz w:val="24"/>
          <w:szCs w:val="24"/>
        </w:rPr>
        <w:t xml:space="preserve">Mundell, R. A. 1963. ‘Capital Mobility and Stabilization Policy under Fixed and Flexible Exchange Rates’. </w:t>
      </w:r>
      <w:r w:rsidRPr="007A0A79">
        <w:rPr>
          <w:rFonts w:ascii="Times New Roman" w:hAnsi="Times New Roman" w:cs="Times New Roman"/>
          <w:i/>
          <w:iCs/>
          <w:sz w:val="24"/>
          <w:szCs w:val="24"/>
          <w:lang w:val="fr-BE"/>
        </w:rPr>
        <w:t>The Canadian Journal of Economics and Political Science / Revue canadienne d’Economique et de Science politique</w:t>
      </w:r>
      <w:r w:rsidRPr="007A0A79">
        <w:rPr>
          <w:rFonts w:ascii="Times New Roman" w:hAnsi="Times New Roman" w:cs="Times New Roman"/>
          <w:sz w:val="24"/>
          <w:szCs w:val="24"/>
          <w:lang w:val="fr-BE"/>
        </w:rPr>
        <w:t xml:space="preserve"> 29(4): 475–85.</w:t>
      </w:r>
    </w:p>
    <w:p w14:paraId="6D27DB6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Mundell, Robert A. 1961. ‘A Theory of Optimum Currency Areas’. </w:t>
      </w:r>
      <w:r>
        <w:rPr>
          <w:rFonts w:ascii="Times New Roman" w:hAnsi="Times New Roman" w:cs="Times New Roman"/>
          <w:i/>
          <w:iCs/>
          <w:sz w:val="24"/>
          <w:szCs w:val="24"/>
        </w:rPr>
        <w:t>The American Economic Review</w:t>
      </w:r>
      <w:r>
        <w:rPr>
          <w:rFonts w:ascii="Times New Roman" w:hAnsi="Times New Roman" w:cs="Times New Roman"/>
          <w:sz w:val="24"/>
          <w:szCs w:val="24"/>
        </w:rPr>
        <w:t xml:space="preserve"> 51(4): 657–65.</w:t>
      </w:r>
    </w:p>
    <w:p w14:paraId="2D17FC7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Nadeau, Richard, and Michael S. Lewis-Beck. 2001. ‘National Economic Voting in U.S. Presidential Elections’. </w:t>
      </w:r>
      <w:r>
        <w:rPr>
          <w:rFonts w:ascii="Times New Roman" w:hAnsi="Times New Roman" w:cs="Times New Roman"/>
          <w:i/>
          <w:iCs/>
          <w:sz w:val="24"/>
          <w:szCs w:val="24"/>
        </w:rPr>
        <w:t>The Journal of Politics</w:t>
      </w:r>
      <w:r>
        <w:rPr>
          <w:rFonts w:ascii="Times New Roman" w:hAnsi="Times New Roman" w:cs="Times New Roman"/>
          <w:sz w:val="24"/>
          <w:szCs w:val="24"/>
        </w:rPr>
        <w:t xml:space="preserve"> 63(1): 159–81.</w:t>
      </w:r>
    </w:p>
    <w:p w14:paraId="0C3E491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Olson, Mancur. 1993. ‘Dictatorship, Democracy, and Development’.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87(3): 567–76.</w:t>
      </w:r>
    </w:p>
    <w:p w14:paraId="4C87A11F"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‘PolityProject’. https://www.systemicpeace.org/polityproject.html (January 11, 2020).</w:t>
      </w:r>
    </w:p>
    <w:p w14:paraId="0A3CF5F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Romelli, Davide. ‘Regulatory Reforms and Central Bank Independence’. : 31.</w:t>
      </w:r>
    </w:p>
    <w:p w14:paraId="5FB48DB8" w14:textId="77777777" w:rsidR="007A0A79" w:rsidRDefault="007A0A79" w:rsidP="007A0A79">
      <w:pPr>
        <w:pStyle w:val="Bibliography"/>
        <w:rPr>
          <w:rFonts w:ascii="Times New Roman" w:hAnsi="Times New Roman" w:cs="Times New Roman"/>
          <w:sz w:val="24"/>
          <w:szCs w:val="24"/>
        </w:rPr>
      </w:pPr>
      <w:r w:rsidRPr="007A0A79">
        <w:rPr>
          <w:rFonts w:ascii="Times New Roman" w:hAnsi="Times New Roman" w:cs="Times New Roman"/>
          <w:sz w:val="24"/>
          <w:szCs w:val="24"/>
          <w:lang w:val="fr-BE"/>
        </w:rPr>
        <w:t xml:space="preserve">Scartascini, Carlos, Cesi Cruz, and Philip Keefer. </w:t>
      </w:r>
      <w:r>
        <w:rPr>
          <w:rFonts w:ascii="Times New Roman" w:hAnsi="Times New Roman" w:cs="Times New Roman"/>
          <w:sz w:val="24"/>
          <w:szCs w:val="24"/>
        </w:rPr>
        <w:t xml:space="preserve">2018. </w:t>
      </w:r>
      <w:r>
        <w:rPr>
          <w:rFonts w:ascii="Times New Roman" w:hAnsi="Times New Roman" w:cs="Times New Roman"/>
          <w:i/>
          <w:iCs/>
          <w:sz w:val="24"/>
          <w:szCs w:val="24"/>
        </w:rPr>
        <w:t>The Database of Political Institutions 2017 (DPI2017)</w:t>
      </w:r>
      <w:r>
        <w:rPr>
          <w:rFonts w:ascii="Times New Roman" w:hAnsi="Times New Roman" w:cs="Times New Roman"/>
          <w:sz w:val="24"/>
          <w:szCs w:val="24"/>
        </w:rPr>
        <w:t>. Inter-American Development Bank. http://publications.iadb.org/11319/8806 (February 17, 2020).</w:t>
      </w:r>
    </w:p>
    <w:p w14:paraId="2CADC44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‘School Enrollment, Tertiary (% Gross) | Data’. https://data.worldbank.org/indicator/SE.TER.ENRR (January 4, 2020).</w:t>
      </w:r>
    </w:p>
    <w:p w14:paraId="214EC77C"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Stiglitz, Joseph. 2016. ‘Joseph Stiglitz: The Problem with Europe Is the Euro’. </w:t>
      </w:r>
      <w:r>
        <w:rPr>
          <w:rFonts w:ascii="Times New Roman" w:hAnsi="Times New Roman" w:cs="Times New Roman"/>
          <w:i/>
          <w:iCs/>
          <w:sz w:val="24"/>
          <w:szCs w:val="24"/>
        </w:rPr>
        <w:t>The Guardian</w:t>
      </w:r>
      <w:r>
        <w:rPr>
          <w:rFonts w:ascii="Times New Roman" w:hAnsi="Times New Roman" w:cs="Times New Roman"/>
          <w:sz w:val="24"/>
          <w:szCs w:val="24"/>
        </w:rPr>
        <w:t>. https://www.theguardian.com/business/2016/aug/10/joseph-stiglitz-the-problem-with-europe-is-the-euro (January 20, 2020).</w:t>
      </w:r>
    </w:p>
    <w:p w14:paraId="664799A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‘Students - Tertiary Graduates by Field - OECD Data’. </w:t>
      </w:r>
      <w:r>
        <w:rPr>
          <w:rFonts w:ascii="Times New Roman" w:hAnsi="Times New Roman" w:cs="Times New Roman"/>
          <w:i/>
          <w:iCs/>
          <w:sz w:val="24"/>
          <w:szCs w:val="24"/>
        </w:rPr>
        <w:t>theOECD</w:t>
      </w:r>
      <w:r>
        <w:rPr>
          <w:rFonts w:ascii="Times New Roman" w:hAnsi="Times New Roman" w:cs="Times New Roman"/>
          <w:sz w:val="24"/>
          <w:szCs w:val="24"/>
        </w:rPr>
        <w:t>. http://data.oecd.org/students/tertiary-graduates-by-field.htm (January 6, 2020).</w:t>
      </w:r>
    </w:p>
    <w:p w14:paraId="63DF02BF"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‘Trump Is Attacking the Federal Reserve. This Explains Why — and What Comes next. - The Washington Post’. https://www.washingtonpost.com/politics/2019/08/27/why-is-trump-attacking-federal-reserve-we-answer-your-questions/ (January 8, 2020).</w:t>
      </w:r>
    </w:p>
    <w:p w14:paraId="7D793A1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Tufte, Edward R. 1980. </w:t>
      </w:r>
      <w:r>
        <w:rPr>
          <w:rFonts w:ascii="Times New Roman" w:hAnsi="Times New Roman" w:cs="Times New Roman"/>
          <w:i/>
          <w:iCs/>
          <w:sz w:val="24"/>
          <w:szCs w:val="24"/>
        </w:rPr>
        <w:t>Political Control of the Economy</w:t>
      </w:r>
      <w:r>
        <w:rPr>
          <w:rFonts w:ascii="Times New Roman" w:hAnsi="Times New Roman" w:cs="Times New Roman"/>
          <w:sz w:val="24"/>
          <w:szCs w:val="24"/>
        </w:rPr>
        <w:t>. 1. Paperback ed. Princeton, N.J: Princeton Univ. Press.</w:t>
      </w:r>
    </w:p>
    <w:p w14:paraId="2EB77DD8"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‘Turkish Economy Shrinks Again as Currency Crisis Bites - Reuters’. https://www.reuters.com/article/us-turkey-economy-gdp/turkish-economy-shrinks-again-as-currency-crisis-bites-idUSKCN1T118O (January 20, 2020).</w:t>
      </w:r>
    </w:p>
    <w:p w14:paraId="5063A58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‘Venezuela Approves Parallel Currency Exchange System amid Political Crisis’. 2019. </w:t>
      </w:r>
      <w:r>
        <w:rPr>
          <w:rFonts w:ascii="Times New Roman" w:hAnsi="Times New Roman" w:cs="Times New Roman"/>
          <w:i/>
          <w:iCs/>
          <w:sz w:val="24"/>
          <w:szCs w:val="24"/>
        </w:rPr>
        <w:t>Reuters</w:t>
      </w:r>
      <w:r>
        <w:rPr>
          <w:rFonts w:ascii="Times New Roman" w:hAnsi="Times New Roman" w:cs="Times New Roman"/>
          <w:sz w:val="24"/>
          <w:szCs w:val="24"/>
        </w:rPr>
        <w:t>. https://www.reuters.com/article/us-venezuela-economy-idUSKCN1PM2AA (January 20, 2020).</w:t>
      </w:r>
    </w:p>
    <w:p w14:paraId="19D11E2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‘WGI 2019 Interactive &gt; Home’. https://info.worldbank.org/governance/wgi/ (January 7, 2020).</w:t>
      </w:r>
    </w:p>
    <w:p w14:paraId="067DB0C8"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‘Youth Voter Participation: Involving Today’s Young in Tomorrow’s Democracy | International IDEA’. https://www.idea.int/publications/catalogue/youth-voter-participation-involving-todays-young-tomorrows-democracy (January 8, 2020).</w:t>
      </w:r>
    </w:p>
    <w:p w14:paraId="6E321188" w14:textId="0420E5DD" w:rsidR="004D5799" w:rsidRPr="00824594" w:rsidRDefault="00A74915" w:rsidP="00252EF0">
      <w:r>
        <w:fldChar w:fldCharType="end"/>
      </w:r>
    </w:p>
    <w:sectPr w:rsidR="004D5799" w:rsidRPr="00824594">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70D05" w14:textId="77777777" w:rsidR="006A0418" w:rsidRDefault="006A0418" w:rsidP="007E32C6">
      <w:pPr>
        <w:spacing w:after="0" w:line="240" w:lineRule="auto"/>
      </w:pPr>
      <w:r>
        <w:separator/>
      </w:r>
    </w:p>
  </w:endnote>
  <w:endnote w:type="continuationSeparator" w:id="0">
    <w:p w14:paraId="70E7A8B4" w14:textId="77777777" w:rsidR="006A0418" w:rsidRDefault="006A0418" w:rsidP="007E32C6">
      <w:pPr>
        <w:spacing w:after="0" w:line="240" w:lineRule="auto"/>
      </w:pPr>
      <w:r>
        <w:continuationSeparator/>
      </w:r>
    </w:p>
  </w:endnote>
  <w:endnote w:type="continuationNotice" w:id="1">
    <w:p w14:paraId="69D53535" w14:textId="77777777" w:rsidR="006A0418" w:rsidRDefault="006A0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53862"/>
      <w:docPartObj>
        <w:docPartGallery w:val="Page Numbers (Bottom of Page)"/>
        <w:docPartUnique/>
      </w:docPartObj>
    </w:sdtPr>
    <w:sdtEndPr>
      <w:rPr>
        <w:noProof/>
      </w:rPr>
    </w:sdtEndPr>
    <w:sdtContent>
      <w:p w14:paraId="2C77EFCF" w14:textId="43FDD812" w:rsidR="008F3E5F" w:rsidRDefault="008F3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7E32C6" w:rsidRDefault="007E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8310A" w14:textId="77777777" w:rsidR="006A0418" w:rsidRDefault="006A0418" w:rsidP="007E32C6">
      <w:pPr>
        <w:spacing w:after="0" w:line="240" w:lineRule="auto"/>
      </w:pPr>
      <w:r>
        <w:separator/>
      </w:r>
    </w:p>
  </w:footnote>
  <w:footnote w:type="continuationSeparator" w:id="0">
    <w:p w14:paraId="4E6FADDC" w14:textId="77777777" w:rsidR="006A0418" w:rsidRDefault="006A0418" w:rsidP="007E32C6">
      <w:pPr>
        <w:spacing w:after="0" w:line="240" w:lineRule="auto"/>
      </w:pPr>
      <w:r>
        <w:continuationSeparator/>
      </w:r>
    </w:p>
  </w:footnote>
  <w:footnote w:type="continuationNotice" w:id="1">
    <w:p w14:paraId="61AA5E9E" w14:textId="77777777" w:rsidR="006A0418" w:rsidRDefault="006A0418">
      <w:pPr>
        <w:spacing w:after="0" w:line="240" w:lineRule="auto"/>
      </w:pPr>
    </w:p>
  </w:footnote>
  <w:footnote w:id="2">
    <w:p w14:paraId="39BE724C" w14:textId="01F65261" w:rsidR="00930DBE" w:rsidRPr="00930DBE" w:rsidRDefault="00930DBE">
      <w:pPr>
        <w:pStyle w:val="FootnoteText"/>
      </w:pPr>
      <w:r>
        <w:rPr>
          <w:rStyle w:val="FootnoteReference"/>
        </w:rPr>
        <w:footnoteRef/>
      </w:r>
      <w:r>
        <w:t xml:space="preserve"> Acknowledgements: </w:t>
      </w:r>
      <w:r w:rsidR="008B15F6" w:rsidRPr="008B15F6">
        <w:rPr>
          <w:highlight w:val="yellow"/>
        </w:rPr>
        <w:t>Prof. for inspiration</w:t>
      </w:r>
    </w:p>
  </w:footnote>
  <w:footnote w:id="3">
    <w:p w14:paraId="125AA624" w14:textId="4EA9B6DA" w:rsidR="0084440C" w:rsidRDefault="0084440C"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rsidR="00DA13FC">
        <w:instrText xml:space="preserve"> ADDIN ZOTERO_ITEM CSL_CITATION {"citationID":"GYiRToR5","properties":{"formattedCitation":"(Friedman 1953)","plainCitation":"(Friedman 1953)","noteIndex":2},"citationItems":[{"id":484,"uris":["http://zotero.org/users/5939705/items/9ZJB36BT"],"uri":["http://zotero.org/users/5939705/items/9ZJB36BT"],"itemData":{"id":484,"type":"book","abstract":"\"Stimulating,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w:t>
      </w:r>
      <w:r w:rsidR="006462C4">
        <w:t>A</w:t>
      </w:r>
      <w:r>
        <w:t xml:space="preserve"> lack of automatic trade rebalancing </w:t>
      </w:r>
      <w:r w:rsidR="00CB1549">
        <w:t>is</w:t>
      </w:r>
      <w:r>
        <w:t xml:space="preserve"> not an a priori problem for fixed rates with consequences for instability: the level of the rate may be adjusted or other trade deficit correcting measures may be taken, and </w:t>
      </w:r>
      <w:r w:rsidR="005F649F">
        <w:t>there is evidence that trade is</w:t>
      </w:r>
      <w:r>
        <w:t xml:space="preserve"> not a top issue for voters</w:t>
      </w:r>
      <w:r w:rsidR="009E2FBB">
        <w:t xml:space="preserve"> </w:t>
      </w:r>
      <w:r w:rsidR="00224914">
        <w:fldChar w:fldCharType="begin"/>
      </w:r>
      <w:r w:rsidR="00DA13FC">
        <w:instrText xml:space="preserve"> ADDIN ZOTERO_ITEM CSL_CITATION {"citationID":"ChodISw9","properties":{"formattedCitation":"(Guisinger 2009)","plainCitation":"(Guisinger 2009)","noteIndex":2},"citationItems":[{"id":486,"uris":["http://zotero.org/users/5939705/items/W363XQUQ"],"uri":["http://zotero.org/users/5939705/items/W363XQUQ"],"itemData":{"id":486,"type":"article-journal","abstract":"Models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rsidR="00224914">
        <w:fldChar w:fldCharType="separate"/>
      </w:r>
      <w:r w:rsidR="009E2FBB" w:rsidRPr="009E2FBB">
        <w:rPr>
          <w:rFonts w:ascii="Calibri" w:hAnsi="Calibri" w:cs="Calibri"/>
        </w:rPr>
        <w:t>(Guisinger 2009)</w:t>
      </w:r>
      <w:r w:rsidR="00224914">
        <w:fldChar w:fldCharType="end"/>
      </w:r>
      <w:r>
        <w:t>.</w:t>
      </w:r>
      <w:r w:rsidR="001F6BAE" w:rsidRPr="001F6BAE">
        <w:t xml:space="preserve"> </w:t>
      </w:r>
      <w:r w:rsidR="00696C59">
        <w:t>Also</w:t>
      </w:r>
      <w:r w:rsidR="001F6BAE">
        <w:t xml:space="preserve"> not a “flexibility” welfare loss per se, currency crises and speculative attacks may also be a problem of fixed rates </w:t>
      </w:r>
      <w:r w:rsidR="001F6BAE">
        <w:fldChar w:fldCharType="begin"/>
      </w:r>
      <w:r w:rsidR="00DA13FC">
        <w:instrText xml:space="preserve"> ADDIN ZOTERO_ITEM CSL_CITATION {"citationID":"2085c1v9","properties":{"formattedCitation":"(Krugman 1979)","plainCitation":"(Krugman 1979)","noteIndex":2},"citationItems":[{"id":368,"uris":["http://zotero.org/users/5939705/items/2VCJ89LE"],"uri":["http://zotero.org/users/5939705/items/2VCJ89LE"],"itemData":{"id":368,"type":"article-journal","archive":"JSTOR","container-title":"Journal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rsidR="001F6BAE">
        <w:fldChar w:fldCharType="separate"/>
      </w:r>
      <w:r w:rsidR="001F6BAE" w:rsidRPr="00F1072A">
        <w:rPr>
          <w:rFonts w:ascii="Calibri" w:hAnsi="Calibri" w:cs="Calibri"/>
        </w:rPr>
        <w:t>(Krugman 1979)</w:t>
      </w:r>
      <w:r w:rsidR="001F6BAE">
        <w:fldChar w:fldCharType="end"/>
      </w:r>
      <w:r w:rsidR="001F6BAE">
        <w:t>. These situations may be mitigated, however, if IMF lending can be obtained and credible commitment to the fixed rate can be established</w:t>
      </w:r>
      <w:r w:rsidR="00DD5B0B">
        <w:t>.</w:t>
      </w:r>
    </w:p>
    <w:p w14:paraId="3AA475C4" w14:textId="77777777" w:rsidR="0084440C" w:rsidRPr="005D127B" w:rsidRDefault="0084440C" w:rsidP="0084440C">
      <w:pPr>
        <w:pStyle w:val="FootnoteText"/>
      </w:pPr>
    </w:p>
  </w:footnote>
  <w:footnote w:id="4">
    <w:p w14:paraId="7A90463A" w14:textId="41AAC77B" w:rsidR="00637973" w:rsidRPr="00637973" w:rsidRDefault="00637973">
      <w:pPr>
        <w:pStyle w:val="FootnoteText"/>
      </w:pPr>
      <w:r>
        <w:rPr>
          <w:rStyle w:val="FootnoteReference"/>
        </w:rPr>
        <w:footnoteRef/>
      </w:r>
      <w:r>
        <w:t xml:space="preserve"> </w:t>
      </w:r>
      <w:r w:rsidR="00C644EE">
        <w:t xml:space="preserve">One notable </w:t>
      </w:r>
      <w:r w:rsidR="009D6AE7">
        <w:t xml:space="preserve">manner of escaping </w:t>
      </w:r>
      <w:r w:rsidR="004F16CA">
        <w:t>a fixed exchange rate constraint</w:t>
      </w:r>
      <w:r w:rsidR="009D6AE7">
        <w:t xml:space="preserve"> </w:t>
      </w:r>
      <w:r w:rsidR="00CE2A57">
        <w:t>may come from the</w:t>
      </w:r>
      <w:r w:rsidR="0068256B">
        <w:t xml:space="preserve"> synchronization of electoral cycles ident</w:t>
      </w:r>
      <w:r w:rsidR="00DB2C81">
        <w:t>ified as a growing trend worldwide</w:t>
      </w:r>
      <w:r w:rsidR="00BC7406">
        <w:t xml:space="preserve"> </w:t>
      </w:r>
      <w:r w:rsidR="00ED057F">
        <w:fldChar w:fldCharType="begin"/>
      </w:r>
      <w:r w:rsidR="00DA13FC">
        <w:instrText xml:space="preserve"> ADDIN ZOTERO_ITEM CSL_CITATION {"citationID":"rZqxbvic","properties":{"formattedCitation":"(Tufte 1980)","plainCitation":"(Tufte 1980)","noteIndex":3},"citationItems":[{"id":255,"uris":["http://zotero.org/users/5939705/items/ATHLW8P9"],"uri":["http://zotero.org/users/5939705/items/ATHLW8P9"],"itemData":{"id":255,"type":"book","edition":"1.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ED057F">
        <w:fldChar w:fldCharType="separate"/>
      </w:r>
      <w:r w:rsidR="00BC7406" w:rsidRPr="00BC7406">
        <w:rPr>
          <w:rFonts w:ascii="Calibri" w:hAnsi="Calibri" w:cs="Calibri"/>
        </w:rPr>
        <w:t>(Tufte 1980)</w:t>
      </w:r>
      <w:r w:rsidR="00ED057F">
        <w:fldChar w:fldCharType="end"/>
      </w:r>
      <w:r w:rsidR="00BC7406">
        <w:t xml:space="preserve">. </w:t>
      </w:r>
      <w:r w:rsidR="0024560B">
        <w:t>A synchronized electoral cycle</w:t>
      </w:r>
      <w:r w:rsidR="00BC7406">
        <w:t xml:space="preserve"> </w:t>
      </w:r>
      <w:r w:rsidR="000573DB">
        <w:t>may allow a nations monetary policy</w:t>
      </w:r>
      <w:r w:rsidR="0024560B">
        <w:t xml:space="preserve"> controlled from abroad </w:t>
      </w:r>
      <w:r w:rsidR="00E16551">
        <w:t xml:space="preserve">through a pegged rate </w:t>
      </w:r>
      <w:r w:rsidR="0024560B">
        <w:t>to again align with domestic</w:t>
      </w:r>
      <w:r w:rsidR="004B53F3">
        <w:t xml:space="preserve"> political interests</w:t>
      </w:r>
      <w:r w:rsidR="00DF1C99">
        <w:t xml:space="preserve">, provided that the </w:t>
      </w:r>
      <w:r w:rsidR="00503E15">
        <w:t xml:space="preserve">nation which the currency is pegged to </w:t>
      </w:r>
      <w:r w:rsidR="0004088D">
        <w:t xml:space="preserve">experiences its own </w:t>
      </w:r>
      <w:r w:rsidR="00055CE1">
        <w:t xml:space="preserve">political business cycles, perhaps due to </w:t>
      </w:r>
      <w:r w:rsidR="00496095">
        <w:t xml:space="preserve">factors such as </w:t>
      </w:r>
      <w:r w:rsidR="00055CE1">
        <w:t>a lack of central bank independence.</w:t>
      </w:r>
    </w:p>
  </w:footnote>
  <w:footnote w:id="5">
    <w:p w14:paraId="42D46EDA" w14:textId="6A34B3F1" w:rsidR="00847436" w:rsidRPr="00847436" w:rsidRDefault="00847436">
      <w:pPr>
        <w:pStyle w:val="FootnoteText"/>
      </w:pPr>
      <w:r>
        <w:rPr>
          <w:rStyle w:val="FootnoteReference"/>
        </w:rPr>
        <w:footnoteRef/>
      </w:r>
      <w:r>
        <w:t xml:space="preserve"> </w:t>
      </w:r>
      <w:r w:rsidR="005D65AF">
        <w:t xml:space="preserve">Argument for more widespread prospective voting in the literature does appear to be common, so the simplifying consensus here is perhaps </w:t>
      </w:r>
      <w:r w:rsidR="005D65AF" w:rsidRPr="005D65AF">
        <w:t xml:space="preserve">overstated. US Index of Consumer Sentiment data seems to indicate that presidential approval ratings, for example, can be fully accounted for by prospective evaluations and forecasting </w:t>
      </w:r>
      <w:r w:rsidR="005D65AF" w:rsidRPr="005D65AF">
        <w:fldChar w:fldCharType="begin"/>
      </w:r>
      <w:r w:rsidR="00DA13FC">
        <w:instrText xml:space="preserve"> ADDIN ZOTERO_ITEM CSL_CITATION {"citationID":"mgK1DJlM","properties":{"formattedCitation":"(MacKuen, Erikson, and Stimson 1992)","plainCitation":"(MacKuen, Erikson, and Stimson 1992)","noteIndex":4},"citationItems":[{"id":242,"uris":["http://zotero.org/users/5939705/items/E3BYG6UH"],"uri":["http://zotero.org/users/5939705/items/E3BYG6UH"],"itemData":{"id":242,"type":"article-journal","abstract":"The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005D65AF" w:rsidRPr="005D65AF">
        <w:fldChar w:fldCharType="separate"/>
      </w:r>
      <w:r w:rsidR="005D65AF" w:rsidRPr="005D65AF">
        <w:rPr>
          <w:rFonts w:ascii="Calibri" w:hAnsi="Calibri" w:cs="Calibri"/>
        </w:rPr>
        <w:t>(MacKuen, Erikson, and Stimson 1992)</w:t>
      </w:r>
      <w:r w:rsidR="005D65AF" w:rsidRPr="005D65AF">
        <w:fldChar w:fldCharType="end"/>
      </w:r>
      <w:r w:rsidR="005D65AF" w:rsidRPr="005D65AF">
        <w:t>.</w:t>
      </w:r>
    </w:p>
  </w:footnote>
  <w:footnote w:id="6">
    <w:p w14:paraId="145B66B6" w14:textId="20BF2F7D" w:rsidR="00F96F82" w:rsidRPr="00F96F82" w:rsidRDefault="00F96F82">
      <w:pPr>
        <w:pStyle w:val="FootnoteText"/>
      </w:pPr>
      <w:r>
        <w:rPr>
          <w:rStyle w:val="FootnoteReference"/>
        </w:rPr>
        <w:footnoteRef/>
      </w:r>
      <w:r>
        <w:t xml:space="preserve"> To my knowledge, there has been no </w:t>
      </w:r>
      <w:r w:rsidR="00B75FDA">
        <w:t xml:space="preserve">statistical or </w:t>
      </w:r>
      <w:r w:rsidR="00DB73F6">
        <w:t>cross-national</w:t>
      </w:r>
      <w:r w:rsidR="00B75FDA">
        <w:t xml:space="preserve"> analysis of </w:t>
      </w:r>
      <w:r w:rsidR="000A3972">
        <w:t xml:space="preserve">politician beliefs </w:t>
      </w:r>
      <w:r w:rsidR="00DB73F6">
        <w:t>on</w:t>
      </w:r>
      <w:r w:rsidR="000A3972">
        <w:t xml:space="preserve"> the importance of the economy</w:t>
      </w:r>
      <w:r w:rsidR="00CB5916">
        <w:t xml:space="preserve"> to voters</w:t>
      </w:r>
      <w:r w:rsidR="003B3C30">
        <w:t>, or on which economic variables they think matter to voters</w:t>
      </w:r>
      <w:r w:rsidR="00EC6944">
        <w:t>.</w:t>
      </w:r>
    </w:p>
  </w:footnote>
  <w:footnote w:id="7">
    <w:p w14:paraId="6BEF2B9E" w14:textId="0610E72C" w:rsidR="00BE6C18" w:rsidRPr="00BE6C18" w:rsidRDefault="00BE6C18">
      <w:pPr>
        <w:pStyle w:val="FootnoteText"/>
        <w:rPr>
          <w:lang w:val="en-GB"/>
        </w:rPr>
      </w:pPr>
      <w:r>
        <w:rPr>
          <w:rStyle w:val="FootnoteReference"/>
        </w:rPr>
        <w:footnoteRef/>
      </w:r>
      <w:r>
        <w:t xml:space="preserve"> </w:t>
      </w:r>
      <w:r>
        <w:rPr>
          <w:lang w:val="en-GB"/>
        </w:rPr>
        <w:t xml:space="preserve">In rational </w:t>
      </w:r>
      <w:r w:rsidR="008851EB">
        <w:rPr>
          <w:lang w:val="en-GB"/>
        </w:rPr>
        <w:t xml:space="preserve">opportunistic or partisan </w:t>
      </w:r>
      <w:r>
        <w:rPr>
          <w:lang w:val="en-GB"/>
        </w:rPr>
        <w:t>models covered in</w:t>
      </w:r>
      <w:r w:rsidR="003253C7">
        <w:rPr>
          <w:lang w:val="en-GB"/>
        </w:rPr>
        <w:t xml:space="preserve"> detail</w:t>
      </w:r>
      <w:r w:rsidR="00F95283">
        <w:rPr>
          <w:lang w:val="en-GB"/>
        </w:rPr>
        <w:t xml:space="preserve"> in</w:t>
      </w:r>
      <w:r>
        <w:rPr>
          <w:lang w:val="en-GB"/>
        </w:rPr>
        <w:t xml:space="preserve"> earlier drafts of th</w:t>
      </w:r>
      <w:r w:rsidR="008851EB">
        <w:rPr>
          <w:lang w:val="en-GB"/>
        </w:rPr>
        <w:t>is paper</w:t>
      </w:r>
      <w:r w:rsidR="003253C7">
        <w:rPr>
          <w:lang w:val="en-GB"/>
        </w:rPr>
        <w:t xml:space="preserve">, a similar mechanism is at play as incumbents try to demonstrate </w:t>
      </w:r>
      <w:r w:rsidR="00443721">
        <w:rPr>
          <w:lang w:val="en-GB"/>
        </w:rPr>
        <w:t>competence to society or the party but cannot do so under limits.</w:t>
      </w:r>
    </w:p>
  </w:footnote>
  <w:footnote w:id="8">
    <w:p w14:paraId="16E60F38" w14:textId="0476399A" w:rsidR="00AD3443" w:rsidRPr="00AD3443" w:rsidRDefault="00AD3443">
      <w:pPr>
        <w:pStyle w:val="FootnoteText"/>
        <w:rPr>
          <w:lang w:val="en-GB"/>
        </w:rPr>
      </w:pPr>
      <w:r w:rsidRPr="000242C6">
        <w:rPr>
          <w:rStyle w:val="FootnoteReference"/>
        </w:rPr>
        <w:footnoteRef/>
      </w:r>
      <w:r w:rsidRPr="000242C6">
        <w:t xml:space="preserve"> </w:t>
      </w:r>
      <w:r w:rsidRPr="000242C6">
        <w:rPr>
          <w:lang w:val="en-GB"/>
        </w:rPr>
        <w:t xml:space="preserve">Of course, the economic concerns of elites </w:t>
      </w:r>
      <w:r w:rsidR="00633C2C" w:rsidRPr="000242C6">
        <w:rPr>
          <w:lang w:val="en-GB"/>
        </w:rPr>
        <w:t>may</w:t>
      </w:r>
      <w:r w:rsidRPr="000242C6">
        <w:rPr>
          <w:lang w:val="en-GB"/>
        </w:rPr>
        <w:t xml:space="preserve"> </w:t>
      </w:r>
      <w:r w:rsidR="00C67F57" w:rsidRPr="000242C6">
        <w:rPr>
          <w:lang w:val="en-GB"/>
        </w:rPr>
        <w:t>differ from those of the general population</w:t>
      </w:r>
      <w:r w:rsidR="00F07FE4" w:rsidRPr="000242C6">
        <w:rPr>
          <w:lang w:val="en-GB"/>
        </w:rPr>
        <w:t>.</w:t>
      </w:r>
      <w:r w:rsidR="00A773D0" w:rsidRPr="000242C6">
        <w:rPr>
          <w:lang w:val="en-GB"/>
        </w:rPr>
        <w:t xml:space="preserve"> It is unclear that elites would </w:t>
      </w:r>
      <w:r w:rsidR="00655299" w:rsidRPr="000242C6">
        <w:rPr>
          <w:lang w:val="en-GB"/>
        </w:rPr>
        <w:t>care about certain macroeconomic</w:t>
      </w:r>
      <w:r w:rsidR="00655299">
        <w:rPr>
          <w:lang w:val="en-GB"/>
        </w:rPr>
        <w:t xml:space="preserve"> variables such as </w:t>
      </w:r>
      <w:r w:rsidR="00FD250B">
        <w:rPr>
          <w:lang w:val="en-GB"/>
        </w:rPr>
        <w:t>un</w:t>
      </w:r>
      <w:r w:rsidR="00655299">
        <w:rPr>
          <w:lang w:val="en-GB"/>
        </w:rPr>
        <w:t>employment</w:t>
      </w:r>
      <w:r w:rsidR="00FD250B">
        <w:rPr>
          <w:lang w:val="en-GB"/>
        </w:rPr>
        <w:t xml:space="preserve">, although substantial levels of assets may lead them to care about </w:t>
      </w:r>
      <w:r w:rsidR="000242C6">
        <w:rPr>
          <w:lang w:val="en-GB"/>
        </w:rPr>
        <w:t>variables such as inflation.</w:t>
      </w:r>
      <w:r w:rsidR="0099464D">
        <w:rPr>
          <w:lang w:val="en-GB"/>
        </w:rPr>
        <w:t xml:space="preserve"> In this case they could still demand limiting institutions</w:t>
      </w:r>
      <w:r w:rsidR="00E11AA8">
        <w:rPr>
          <w:lang w:val="en-GB"/>
        </w:rPr>
        <w:t>.</w:t>
      </w:r>
      <w:r w:rsidR="00DF17D3">
        <w:rPr>
          <w:lang w:val="en-GB"/>
        </w:rPr>
        <w:t xml:space="preserve"> It is somewhat harder to imagine </w:t>
      </w:r>
      <w:r w:rsidR="00BC606D">
        <w:rPr>
          <w:lang w:val="en-GB"/>
        </w:rPr>
        <w:t xml:space="preserve">central bank independence or a fixed exchange rate placing a limit on </w:t>
      </w:r>
      <w:r w:rsidR="005C317C">
        <w:rPr>
          <w:lang w:val="en-GB"/>
        </w:rPr>
        <w:t>transfers to elites to maintain support</w:t>
      </w:r>
      <w:r w:rsidR="000F7D07">
        <w:rPr>
          <w:lang w:val="en-GB"/>
        </w:rPr>
        <w:t xml:space="preserve"> as “manipulation,” so the mechanism is less clear here.</w:t>
      </w:r>
      <w:r w:rsidR="00EB3FD0">
        <w:rPr>
          <w:lang w:val="en-GB"/>
        </w:rPr>
        <w:t xml:space="preserve"> Overall, popular </w:t>
      </w:r>
      <w:r w:rsidR="008D09C0">
        <w:rPr>
          <w:lang w:val="en-GB"/>
        </w:rPr>
        <w:t>unrest</w:t>
      </w:r>
      <w:r w:rsidR="00EB3FD0">
        <w:rPr>
          <w:lang w:val="en-GB"/>
        </w:rPr>
        <w:t xml:space="preserve"> may be a more powerful driver.</w:t>
      </w:r>
    </w:p>
  </w:footnote>
  <w:footnote w:id="9">
    <w:p w14:paraId="48BC4784" w14:textId="5D656CE3" w:rsidR="00EE1868" w:rsidRPr="00EE1868" w:rsidRDefault="00EE1868">
      <w:pPr>
        <w:pStyle w:val="FootnoteText"/>
        <w:rPr>
          <w:lang w:val="en-GB"/>
        </w:rPr>
      </w:pPr>
      <w:r>
        <w:rPr>
          <w:rStyle w:val="FootnoteReference"/>
        </w:rPr>
        <w:footnoteRef/>
      </w:r>
      <w:r>
        <w:t xml:space="preserve"> </w:t>
      </w:r>
      <w:r>
        <w:rPr>
          <w:lang w:val="en-GB"/>
        </w:rPr>
        <w:t xml:space="preserve">As a key difference, </w:t>
      </w:r>
      <w:r w:rsidR="00DC7DCA">
        <w:rPr>
          <w:lang w:val="en-GB"/>
        </w:rPr>
        <w:t>I employ data on capital controls and openness rather than making any temporal assumptions of this nature.</w:t>
      </w:r>
    </w:p>
  </w:footnote>
  <w:footnote w:id="10">
    <w:p w14:paraId="6584B3FA" w14:textId="7B9F9363" w:rsidR="004A3546" w:rsidRPr="004A3546" w:rsidRDefault="004A3546">
      <w:pPr>
        <w:pStyle w:val="FootnoteText"/>
        <w:rPr>
          <w:lang w:val="en-GB"/>
        </w:rPr>
      </w:pPr>
      <w:r>
        <w:rPr>
          <w:rStyle w:val="FootnoteReference"/>
        </w:rPr>
        <w:footnoteRef/>
      </w:r>
      <w:r>
        <w:t xml:space="preserve"> </w:t>
      </w:r>
      <w:r w:rsidR="00A00919">
        <w:rPr>
          <w:lang w:val="en-GB"/>
        </w:rPr>
        <w:t xml:space="preserve">The assumption here appears to be that fixed exchange rates </w:t>
      </w:r>
      <w:r w:rsidR="00486A6D">
        <w:rPr>
          <w:lang w:val="en-GB"/>
        </w:rPr>
        <w:t xml:space="preserve">actually </w:t>
      </w:r>
      <w:r w:rsidR="00A00919">
        <w:rPr>
          <w:lang w:val="en-GB"/>
        </w:rPr>
        <w:t>free up access to fiscal policy</w:t>
      </w:r>
      <w:r w:rsidR="00185907">
        <w:rPr>
          <w:lang w:val="en-GB"/>
        </w:rPr>
        <w:t xml:space="preserve"> manipulation</w:t>
      </w:r>
      <w:r w:rsidR="00486A6D">
        <w:rPr>
          <w:lang w:val="en-GB"/>
        </w:rPr>
        <w:t xml:space="preserve"> (with increased access to capital)</w:t>
      </w:r>
      <w:r w:rsidR="00185907">
        <w:rPr>
          <w:lang w:val="en-GB"/>
        </w:rPr>
        <w:t xml:space="preserve">, </w:t>
      </w:r>
      <w:r w:rsidR="00A67D3D">
        <w:rPr>
          <w:lang w:val="en-GB"/>
        </w:rPr>
        <w:t xml:space="preserve">which is an acceptance of </w:t>
      </w:r>
      <w:r w:rsidR="006B757A">
        <w:rPr>
          <w:lang w:val="en-GB"/>
        </w:rPr>
        <w:t>the counterargument mentioned</w:t>
      </w:r>
      <w:r w:rsidR="00FD5C9C">
        <w:rPr>
          <w:lang w:val="en-GB"/>
        </w:rPr>
        <w:t xml:space="preserve"> near the end of the section “Political </w:t>
      </w:r>
      <w:r w:rsidR="00AA1D9F">
        <w:rPr>
          <w:lang w:val="en-GB"/>
        </w:rPr>
        <w:t>Business Cycle Effects of Limiting institutions” at the end of this paper.</w:t>
      </w:r>
      <w:r w:rsidR="00950687">
        <w:rPr>
          <w:lang w:val="en-GB"/>
        </w:rPr>
        <w:t xml:space="preserve"> </w:t>
      </w:r>
      <w:r w:rsidR="007701A2" w:rsidRPr="00AA1C40">
        <w:rPr>
          <w:lang w:val="en-GB"/>
        </w:rPr>
        <w:t xml:space="preserve">This seems to contradict the evidence </w:t>
      </w:r>
      <w:r w:rsidR="00DB07AA" w:rsidRPr="00AA1C40">
        <w:rPr>
          <w:lang w:val="en-GB"/>
        </w:rPr>
        <w:t>arguing</w:t>
      </w:r>
      <w:r w:rsidR="001F6F56" w:rsidRPr="00AA1C40">
        <w:rPr>
          <w:lang w:val="en-GB"/>
        </w:rPr>
        <w:t xml:space="preserve"> fixed rates reduce manipulat</w:t>
      </w:r>
      <w:r w:rsidR="00E77ABA">
        <w:rPr>
          <w:lang w:val="en-GB"/>
        </w:rPr>
        <w:t xml:space="preserve">ion </w:t>
      </w:r>
      <w:r w:rsidR="009558D7" w:rsidRPr="00AA1C40">
        <w:rPr>
          <w:lang w:val="en-GB"/>
        </w:rPr>
        <w:t>at least for output and unemployment</w:t>
      </w:r>
      <w:r w:rsidR="006F5902" w:rsidRPr="00AA1C40">
        <w:rPr>
          <w:lang w:val="en-GB"/>
        </w:rPr>
        <w:t xml:space="preserve"> </w:t>
      </w:r>
      <w:r w:rsidR="00E44044" w:rsidRPr="00AA1C40">
        <w:rPr>
          <w:lang w:val="en-GB"/>
        </w:rPr>
        <w:fldChar w:fldCharType="begin"/>
      </w:r>
      <w:r w:rsidR="00DA13FC">
        <w:rPr>
          <w:lang w:val="en-GB"/>
        </w:rPr>
        <w:instrText xml:space="preserve"> ADDIN ZOTERO_ITEM CSL_CITATION {"citationID":"FiEx9s2m","properties":{"formattedCitation":"(William Roberts Clark et al. 1998)","plainCitation":"(William Roberts Clark et al. 1998)","noteIndex":9},"citationItems":[{"id":316,"uris":["http://zotero.org/users/5939705/items/3JPY4HEU"],"uri":["http://zotero.org/users/5939705/items/3JPY4HEU"],"itemData":{"id":316,"type":"article-journal","abstract":"The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E44044" w:rsidRPr="00AA1C40">
        <w:rPr>
          <w:lang w:val="en-GB"/>
        </w:rPr>
        <w:fldChar w:fldCharType="separate"/>
      </w:r>
      <w:r w:rsidR="006F5902" w:rsidRPr="00AA1C40">
        <w:rPr>
          <w:rFonts w:ascii="Calibri" w:hAnsi="Calibri" w:cs="Calibri"/>
        </w:rPr>
        <w:t>(William Roberts Clark et al. 1998)</w:t>
      </w:r>
      <w:r w:rsidR="00E44044" w:rsidRPr="00AA1C40">
        <w:rPr>
          <w:lang w:val="en-GB"/>
        </w:rPr>
        <w:fldChar w:fldCharType="end"/>
      </w:r>
      <w:r w:rsidR="00520205" w:rsidRPr="00AA1C40">
        <w:rPr>
          <w:lang w:val="en-GB"/>
        </w:rPr>
        <w:t>, although</w:t>
      </w:r>
      <w:r w:rsidR="00F301E8">
        <w:rPr>
          <w:lang w:val="en-GB"/>
        </w:rPr>
        <w:t xml:space="preserve"> (note again)</w:t>
      </w:r>
      <w:r w:rsidR="00520205" w:rsidRPr="00AA1C40">
        <w:rPr>
          <w:lang w:val="en-GB"/>
        </w:rPr>
        <w:t xml:space="preserve"> </w:t>
      </w:r>
      <w:r w:rsidR="001D0E33" w:rsidRPr="00AA1C40">
        <w:rPr>
          <w:lang w:val="en-GB"/>
        </w:rPr>
        <w:t xml:space="preserve">results </w:t>
      </w:r>
      <w:r w:rsidR="00AE7977" w:rsidRPr="00AA1C40">
        <w:rPr>
          <w:lang w:val="en-GB"/>
        </w:rPr>
        <w:t>on this topic are tentative</w:t>
      </w:r>
      <w:r w:rsidR="00516616">
        <w:rPr>
          <w:lang w:val="en-GB"/>
        </w:rPr>
        <w:t xml:space="preserve"> (correctly signed but not very </w:t>
      </w:r>
      <w:r w:rsidR="005F4A75">
        <w:rPr>
          <w:lang w:val="en-GB"/>
        </w:rPr>
        <w:t>significant</w:t>
      </w:r>
      <w:r w:rsidR="00516616">
        <w:rPr>
          <w:lang w:val="en-GB"/>
        </w:rPr>
        <w:t>)</w:t>
      </w:r>
      <w:r w:rsidR="001D75BB" w:rsidRPr="00AA1C40">
        <w:rPr>
          <w:lang w:val="en-GB"/>
        </w:rPr>
        <w:t xml:space="preserve"> and </w:t>
      </w:r>
      <w:r w:rsidR="0006109B" w:rsidRPr="00AA1C40">
        <w:rPr>
          <w:lang w:val="en-GB"/>
        </w:rPr>
        <w:t xml:space="preserve">there may be other means of fiscal policy manipulation </w:t>
      </w:r>
      <w:r w:rsidR="00114ACC" w:rsidRPr="00AA1C40">
        <w:rPr>
          <w:lang w:val="en-GB"/>
        </w:rPr>
        <w:t xml:space="preserve">such as transfers </w:t>
      </w:r>
      <w:r w:rsidR="0006109B" w:rsidRPr="00AA1C40">
        <w:rPr>
          <w:lang w:val="en-GB"/>
        </w:rPr>
        <w:t xml:space="preserve">not </w:t>
      </w:r>
      <w:r w:rsidR="00114ACC" w:rsidRPr="00AA1C40">
        <w:rPr>
          <w:lang w:val="en-GB"/>
        </w:rPr>
        <w:t xml:space="preserve">as easily </w:t>
      </w:r>
      <w:r w:rsidR="0006109B" w:rsidRPr="00AA1C40">
        <w:rPr>
          <w:lang w:val="en-GB"/>
        </w:rPr>
        <w:t>detectable in the aggregate</w:t>
      </w:r>
      <w:r w:rsidR="001F6F56" w:rsidRPr="00AA1C40">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2E"/>
    <w:rsid w:val="000005C4"/>
    <w:rsid w:val="000009B8"/>
    <w:rsid w:val="00000C5C"/>
    <w:rsid w:val="00001ABB"/>
    <w:rsid w:val="00002177"/>
    <w:rsid w:val="00002F0B"/>
    <w:rsid w:val="0000321A"/>
    <w:rsid w:val="0000465C"/>
    <w:rsid w:val="00004AD1"/>
    <w:rsid w:val="00004C88"/>
    <w:rsid w:val="00005EE6"/>
    <w:rsid w:val="00006C83"/>
    <w:rsid w:val="00006F74"/>
    <w:rsid w:val="00007043"/>
    <w:rsid w:val="00007602"/>
    <w:rsid w:val="0000795B"/>
    <w:rsid w:val="00007AB3"/>
    <w:rsid w:val="00007E23"/>
    <w:rsid w:val="00011C8C"/>
    <w:rsid w:val="00011DB8"/>
    <w:rsid w:val="00012955"/>
    <w:rsid w:val="00012C2A"/>
    <w:rsid w:val="00013D33"/>
    <w:rsid w:val="00013F54"/>
    <w:rsid w:val="00014684"/>
    <w:rsid w:val="000146CE"/>
    <w:rsid w:val="00016118"/>
    <w:rsid w:val="00016612"/>
    <w:rsid w:val="000166D8"/>
    <w:rsid w:val="00016923"/>
    <w:rsid w:val="00016E15"/>
    <w:rsid w:val="000172C7"/>
    <w:rsid w:val="000174C7"/>
    <w:rsid w:val="000176BC"/>
    <w:rsid w:val="000178E0"/>
    <w:rsid w:val="00020376"/>
    <w:rsid w:val="000204BB"/>
    <w:rsid w:val="0002053B"/>
    <w:rsid w:val="00020549"/>
    <w:rsid w:val="000205EF"/>
    <w:rsid w:val="000206D3"/>
    <w:rsid w:val="00020D4D"/>
    <w:rsid w:val="00021899"/>
    <w:rsid w:val="000226EA"/>
    <w:rsid w:val="00022D00"/>
    <w:rsid w:val="00022FA5"/>
    <w:rsid w:val="0002331E"/>
    <w:rsid w:val="00023401"/>
    <w:rsid w:val="0002353E"/>
    <w:rsid w:val="000236C8"/>
    <w:rsid w:val="00023B3F"/>
    <w:rsid w:val="000240D1"/>
    <w:rsid w:val="000242C6"/>
    <w:rsid w:val="000249E3"/>
    <w:rsid w:val="00025124"/>
    <w:rsid w:val="0002545F"/>
    <w:rsid w:val="000261EF"/>
    <w:rsid w:val="00026427"/>
    <w:rsid w:val="00026AA6"/>
    <w:rsid w:val="00026F25"/>
    <w:rsid w:val="00027285"/>
    <w:rsid w:val="0002743C"/>
    <w:rsid w:val="00027A1A"/>
    <w:rsid w:val="00027DC6"/>
    <w:rsid w:val="00030234"/>
    <w:rsid w:val="00030AC3"/>
    <w:rsid w:val="0003109B"/>
    <w:rsid w:val="0003116C"/>
    <w:rsid w:val="00031C61"/>
    <w:rsid w:val="000325D9"/>
    <w:rsid w:val="00035004"/>
    <w:rsid w:val="000354A8"/>
    <w:rsid w:val="00035754"/>
    <w:rsid w:val="00035D3C"/>
    <w:rsid w:val="00036046"/>
    <w:rsid w:val="000362DC"/>
    <w:rsid w:val="00040749"/>
    <w:rsid w:val="0004088D"/>
    <w:rsid w:val="00041649"/>
    <w:rsid w:val="00041C5C"/>
    <w:rsid w:val="00042182"/>
    <w:rsid w:val="00042741"/>
    <w:rsid w:val="00043875"/>
    <w:rsid w:val="00043961"/>
    <w:rsid w:val="00043B43"/>
    <w:rsid w:val="00043B4B"/>
    <w:rsid w:val="00043DC6"/>
    <w:rsid w:val="00044D23"/>
    <w:rsid w:val="000454A9"/>
    <w:rsid w:val="00045B66"/>
    <w:rsid w:val="00045C2F"/>
    <w:rsid w:val="00045CCC"/>
    <w:rsid w:val="00045F50"/>
    <w:rsid w:val="00046019"/>
    <w:rsid w:val="0004683A"/>
    <w:rsid w:val="00047873"/>
    <w:rsid w:val="0005002F"/>
    <w:rsid w:val="00050547"/>
    <w:rsid w:val="00052B23"/>
    <w:rsid w:val="00053B1F"/>
    <w:rsid w:val="0005420F"/>
    <w:rsid w:val="00054284"/>
    <w:rsid w:val="00055076"/>
    <w:rsid w:val="00055CD0"/>
    <w:rsid w:val="00055CE1"/>
    <w:rsid w:val="00055DBB"/>
    <w:rsid w:val="00056520"/>
    <w:rsid w:val="000566CB"/>
    <w:rsid w:val="00056BCA"/>
    <w:rsid w:val="00056CB3"/>
    <w:rsid w:val="000573DB"/>
    <w:rsid w:val="00057B5B"/>
    <w:rsid w:val="00057C68"/>
    <w:rsid w:val="00057FA3"/>
    <w:rsid w:val="000604EC"/>
    <w:rsid w:val="00060909"/>
    <w:rsid w:val="0006109B"/>
    <w:rsid w:val="000618BD"/>
    <w:rsid w:val="00061E7B"/>
    <w:rsid w:val="00061E97"/>
    <w:rsid w:val="000627B0"/>
    <w:rsid w:val="00063823"/>
    <w:rsid w:val="00063E12"/>
    <w:rsid w:val="000642ED"/>
    <w:rsid w:val="0006475E"/>
    <w:rsid w:val="00064994"/>
    <w:rsid w:val="00064D0E"/>
    <w:rsid w:val="0006511C"/>
    <w:rsid w:val="000659F2"/>
    <w:rsid w:val="0006642E"/>
    <w:rsid w:val="00066AB7"/>
    <w:rsid w:val="00067A9B"/>
    <w:rsid w:val="00067ABA"/>
    <w:rsid w:val="00067B37"/>
    <w:rsid w:val="00067E55"/>
    <w:rsid w:val="0007088C"/>
    <w:rsid w:val="0007099A"/>
    <w:rsid w:val="00070B58"/>
    <w:rsid w:val="00070FC8"/>
    <w:rsid w:val="00072C18"/>
    <w:rsid w:val="000730B4"/>
    <w:rsid w:val="000736FB"/>
    <w:rsid w:val="000737B1"/>
    <w:rsid w:val="000746FF"/>
    <w:rsid w:val="0007488A"/>
    <w:rsid w:val="00074A43"/>
    <w:rsid w:val="00074E81"/>
    <w:rsid w:val="00074FC8"/>
    <w:rsid w:val="000756D1"/>
    <w:rsid w:val="00075755"/>
    <w:rsid w:val="00075A6B"/>
    <w:rsid w:val="00076033"/>
    <w:rsid w:val="000762AB"/>
    <w:rsid w:val="000766D1"/>
    <w:rsid w:val="00076A45"/>
    <w:rsid w:val="00077435"/>
    <w:rsid w:val="000805AB"/>
    <w:rsid w:val="00080F1B"/>
    <w:rsid w:val="000810C8"/>
    <w:rsid w:val="00082742"/>
    <w:rsid w:val="00082D9D"/>
    <w:rsid w:val="0008325B"/>
    <w:rsid w:val="00083916"/>
    <w:rsid w:val="00083A19"/>
    <w:rsid w:val="0008412D"/>
    <w:rsid w:val="00085506"/>
    <w:rsid w:val="00086E7C"/>
    <w:rsid w:val="000874F2"/>
    <w:rsid w:val="00087D6D"/>
    <w:rsid w:val="00091E8A"/>
    <w:rsid w:val="000932E5"/>
    <w:rsid w:val="0009330B"/>
    <w:rsid w:val="00093738"/>
    <w:rsid w:val="00094021"/>
    <w:rsid w:val="00094E3B"/>
    <w:rsid w:val="0009504E"/>
    <w:rsid w:val="000955D5"/>
    <w:rsid w:val="0009699E"/>
    <w:rsid w:val="00096A42"/>
    <w:rsid w:val="00096B06"/>
    <w:rsid w:val="00096C40"/>
    <w:rsid w:val="0009704D"/>
    <w:rsid w:val="0009791A"/>
    <w:rsid w:val="00097BD4"/>
    <w:rsid w:val="000A046C"/>
    <w:rsid w:val="000A047E"/>
    <w:rsid w:val="000A0DD6"/>
    <w:rsid w:val="000A11FF"/>
    <w:rsid w:val="000A13DC"/>
    <w:rsid w:val="000A1D30"/>
    <w:rsid w:val="000A2681"/>
    <w:rsid w:val="000A29CC"/>
    <w:rsid w:val="000A2C87"/>
    <w:rsid w:val="000A36BE"/>
    <w:rsid w:val="000A3972"/>
    <w:rsid w:val="000A3B5C"/>
    <w:rsid w:val="000A42BF"/>
    <w:rsid w:val="000A4EAA"/>
    <w:rsid w:val="000A51A5"/>
    <w:rsid w:val="000A55E7"/>
    <w:rsid w:val="000A68E2"/>
    <w:rsid w:val="000A722D"/>
    <w:rsid w:val="000B0071"/>
    <w:rsid w:val="000B0122"/>
    <w:rsid w:val="000B13F8"/>
    <w:rsid w:val="000B188C"/>
    <w:rsid w:val="000B24FF"/>
    <w:rsid w:val="000B2BB7"/>
    <w:rsid w:val="000B2C68"/>
    <w:rsid w:val="000B2F74"/>
    <w:rsid w:val="000B36DB"/>
    <w:rsid w:val="000B3A22"/>
    <w:rsid w:val="000B4588"/>
    <w:rsid w:val="000B52E8"/>
    <w:rsid w:val="000B5364"/>
    <w:rsid w:val="000B57B0"/>
    <w:rsid w:val="000B586D"/>
    <w:rsid w:val="000B59A3"/>
    <w:rsid w:val="000B7A6A"/>
    <w:rsid w:val="000C00A9"/>
    <w:rsid w:val="000C03B9"/>
    <w:rsid w:val="000C0D71"/>
    <w:rsid w:val="000C1010"/>
    <w:rsid w:val="000C1F9A"/>
    <w:rsid w:val="000C2D58"/>
    <w:rsid w:val="000C2E79"/>
    <w:rsid w:val="000C360B"/>
    <w:rsid w:val="000C4220"/>
    <w:rsid w:val="000C4870"/>
    <w:rsid w:val="000C49D0"/>
    <w:rsid w:val="000C4F48"/>
    <w:rsid w:val="000C5176"/>
    <w:rsid w:val="000C5BED"/>
    <w:rsid w:val="000C5FE0"/>
    <w:rsid w:val="000C621A"/>
    <w:rsid w:val="000C63D6"/>
    <w:rsid w:val="000C743F"/>
    <w:rsid w:val="000C75F2"/>
    <w:rsid w:val="000C7ECF"/>
    <w:rsid w:val="000D03E8"/>
    <w:rsid w:val="000D04CE"/>
    <w:rsid w:val="000D09CC"/>
    <w:rsid w:val="000D148F"/>
    <w:rsid w:val="000D165A"/>
    <w:rsid w:val="000D1824"/>
    <w:rsid w:val="000D1991"/>
    <w:rsid w:val="000D208B"/>
    <w:rsid w:val="000D2BDC"/>
    <w:rsid w:val="000D2C12"/>
    <w:rsid w:val="000D3047"/>
    <w:rsid w:val="000D319F"/>
    <w:rsid w:val="000D3A07"/>
    <w:rsid w:val="000D556D"/>
    <w:rsid w:val="000D58EB"/>
    <w:rsid w:val="000D595E"/>
    <w:rsid w:val="000D5AC4"/>
    <w:rsid w:val="000D5BA0"/>
    <w:rsid w:val="000D69EC"/>
    <w:rsid w:val="000D6B94"/>
    <w:rsid w:val="000D70F5"/>
    <w:rsid w:val="000D7269"/>
    <w:rsid w:val="000E0B4A"/>
    <w:rsid w:val="000E11C8"/>
    <w:rsid w:val="000E12FA"/>
    <w:rsid w:val="000E19D9"/>
    <w:rsid w:val="000E1BA9"/>
    <w:rsid w:val="000E1BEA"/>
    <w:rsid w:val="000E23C9"/>
    <w:rsid w:val="000E2E37"/>
    <w:rsid w:val="000E3654"/>
    <w:rsid w:val="000E373C"/>
    <w:rsid w:val="000E39E6"/>
    <w:rsid w:val="000E49C8"/>
    <w:rsid w:val="000E5759"/>
    <w:rsid w:val="000E5A68"/>
    <w:rsid w:val="000E621E"/>
    <w:rsid w:val="000E646F"/>
    <w:rsid w:val="000E6E64"/>
    <w:rsid w:val="000E7489"/>
    <w:rsid w:val="000E7C56"/>
    <w:rsid w:val="000F0458"/>
    <w:rsid w:val="000F06A2"/>
    <w:rsid w:val="000F165C"/>
    <w:rsid w:val="000F1AC8"/>
    <w:rsid w:val="000F2058"/>
    <w:rsid w:val="000F2424"/>
    <w:rsid w:val="000F26CF"/>
    <w:rsid w:val="000F2FEC"/>
    <w:rsid w:val="000F356C"/>
    <w:rsid w:val="000F4106"/>
    <w:rsid w:val="000F41B7"/>
    <w:rsid w:val="000F4254"/>
    <w:rsid w:val="000F43B9"/>
    <w:rsid w:val="000F45AF"/>
    <w:rsid w:val="000F5672"/>
    <w:rsid w:val="000F59CF"/>
    <w:rsid w:val="000F59E6"/>
    <w:rsid w:val="000F5E28"/>
    <w:rsid w:val="000F637D"/>
    <w:rsid w:val="000F6BB9"/>
    <w:rsid w:val="000F76BE"/>
    <w:rsid w:val="000F7809"/>
    <w:rsid w:val="000F7D07"/>
    <w:rsid w:val="0010003F"/>
    <w:rsid w:val="0010091F"/>
    <w:rsid w:val="0010180E"/>
    <w:rsid w:val="00101A09"/>
    <w:rsid w:val="00101AF4"/>
    <w:rsid w:val="00101DC0"/>
    <w:rsid w:val="001023D1"/>
    <w:rsid w:val="001023E7"/>
    <w:rsid w:val="001029CD"/>
    <w:rsid w:val="001030B9"/>
    <w:rsid w:val="001031D9"/>
    <w:rsid w:val="001038CE"/>
    <w:rsid w:val="00103AD1"/>
    <w:rsid w:val="00103F12"/>
    <w:rsid w:val="001044D8"/>
    <w:rsid w:val="0010502E"/>
    <w:rsid w:val="001050D6"/>
    <w:rsid w:val="0010524C"/>
    <w:rsid w:val="001052B3"/>
    <w:rsid w:val="00106027"/>
    <w:rsid w:val="00106048"/>
    <w:rsid w:val="00106053"/>
    <w:rsid w:val="00106495"/>
    <w:rsid w:val="001068E4"/>
    <w:rsid w:val="00106A77"/>
    <w:rsid w:val="00106BF3"/>
    <w:rsid w:val="00106C5D"/>
    <w:rsid w:val="00107703"/>
    <w:rsid w:val="001109FB"/>
    <w:rsid w:val="0011207A"/>
    <w:rsid w:val="00112093"/>
    <w:rsid w:val="001126F5"/>
    <w:rsid w:val="00112DB6"/>
    <w:rsid w:val="00113C79"/>
    <w:rsid w:val="001141C2"/>
    <w:rsid w:val="001145BE"/>
    <w:rsid w:val="001148AD"/>
    <w:rsid w:val="00114A4E"/>
    <w:rsid w:val="00114ACC"/>
    <w:rsid w:val="00114C3F"/>
    <w:rsid w:val="00115F0D"/>
    <w:rsid w:val="00116056"/>
    <w:rsid w:val="0011635B"/>
    <w:rsid w:val="00116367"/>
    <w:rsid w:val="001165CD"/>
    <w:rsid w:val="0011729C"/>
    <w:rsid w:val="00117E35"/>
    <w:rsid w:val="001206F3"/>
    <w:rsid w:val="00120E30"/>
    <w:rsid w:val="00120EF8"/>
    <w:rsid w:val="0012181F"/>
    <w:rsid w:val="00121F76"/>
    <w:rsid w:val="0012230D"/>
    <w:rsid w:val="00122A86"/>
    <w:rsid w:val="00122CF2"/>
    <w:rsid w:val="00123BC2"/>
    <w:rsid w:val="00123DD1"/>
    <w:rsid w:val="00124042"/>
    <w:rsid w:val="00124804"/>
    <w:rsid w:val="00125BD7"/>
    <w:rsid w:val="00126FE1"/>
    <w:rsid w:val="001306A8"/>
    <w:rsid w:val="00131AE2"/>
    <w:rsid w:val="00132966"/>
    <w:rsid w:val="00132B64"/>
    <w:rsid w:val="001339E1"/>
    <w:rsid w:val="00133EC5"/>
    <w:rsid w:val="00134556"/>
    <w:rsid w:val="00135225"/>
    <w:rsid w:val="0013575F"/>
    <w:rsid w:val="00135F1C"/>
    <w:rsid w:val="00136B30"/>
    <w:rsid w:val="00136BC4"/>
    <w:rsid w:val="00136C15"/>
    <w:rsid w:val="00137457"/>
    <w:rsid w:val="001376CE"/>
    <w:rsid w:val="00137A86"/>
    <w:rsid w:val="001405B2"/>
    <w:rsid w:val="001406BA"/>
    <w:rsid w:val="00140B6E"/>
    <w:rsid w:val="00141863"/>
    <w:rsid w:val="001431B8"/>
    <w:rsid w:val="0014356D"/>
    <w:rsid w:val="00143602"/>
    <w:rsid w:val="00143BF1"/>
    <w:rsid w:val="00144091"/>
    <w:rsid w:val="00144426"/>
    <w:rsid w:val="0014482B"/>
    <w:rsid w:val="00147540"/>
    <w:rsid w:val="00147AEF"/>
    <w:rsid w:val="00147D07"/>
    <w:rsid w:val="0015013E"/>
    <w:rsid w:val="00150279"/>
    <w:rsid w:val="00150BD3"/>
    <w:rsid w:val="00151ED6"/>
    <w:rsid w:val="001527B0"/>
    <w:rsid w:val="001528B3"/>
    <w:rsid w:val="00153057"/>
    <w:rsid w:val="00154A51"/>
    <w:rsid w:val="00154D1E"/>
    <w:rsid w:val="00154F12"/>
    <w:rsid w:val="001554AA"/>
    <w:rsid w:val="001554C8"/>
    <w:rsid w:val="001555FB"/>
    <w:rsid w:val="0015567E"/>
    <w:rsid w:val="00155856"/>
    <w:rsid w:val="00155984"/>
    <w:rsid w:val="0015659B"/>
    <w:rsid w:val="0015681A"/>
    <w:rsid w:val="00156A6B"/>
    <w:rsid w:val="00157659"/>
    <w:rsid w:val="00157684"/>
    <w:rsid w:val="001577D9"/>
    <w:rsid w:val="0016006E"/>
    <w:rsid w:val="00161B92"/>
    <w:rsid w:val="00162076"/>
    <w:rsid w:val="001622AD"/>
    <w:rsid w:val="0016260F"/>
    <w:rsid w:val="001627A8"/>
    <w:rsid w:val="00162E99"/>
    <w:rsid w:val="00162F42"/>
    <w:rsid w:val="0016411C"/>
    <w:rsid w:val="001648ED"/>
    <w:rsid w:val="00164920"/>
    <w:rsid w:val="00164A58"/>
    <w:rsid w:val="00164AD9"/>
    <w:rsid w:val="001662C9"/>
    <w:rsid w:val="00166354"/>
    <w:rsid w:val="0016666A"/>
    <w:rsid w:val="001667B7"/>
    <w:rsid w:val="00166A4A"/>
    <w:rsid w:val="00167425"/>
    <w:rsid w:val="0016750D"/>
    <w:rsid w:val="00167545"/>
    <w:rsid w:val="001706F3"/>
    <w:rsid w:val="00170729"/>
    <w:rsid w:val="00170C69"/>
    <w:rsid w:val="00170D17"/>
    <w:rsid w:val="001710B0"/>
    <w:rsid w:val="00171244"/>
    <w:rsid w:val="00172EFC"/>
    <w:rsid w:val="0017328E"/>
    <w:rsid w:val="0017344F"/>
    <w:rsid w:val="00173F0A"/>
    <w:rsid w:val="00175032"/>
    <w:rsid w:val="0017590D"/>
    <w:rsid w:val="00176C0A"/>
    <w:rsid w:val="00176DEF"/>
    <w:rsid w:val="001778CD"/>
    <w:rsid w:val="00177B30"/>
    <w:rsid w:val="00177D8E"/>
    <w:rsid w:val="0018048E"/>
    <w:rsid w:val="00180CC4"/>
    <w:rsid w:val="00180EDC"/>
    <w:rsid w:val="00181CC8"/>
    <w:rsid w:val="0018248E"/>
    <w:rsid w:val="0018292A"/>
    <w:rsid w:val="00182FF6"/>
    <w:rsid w:val="001833CB"/>
    <w:rsid w:val="001834C9"/>
    <w:rsid w:val="001836BA"/>
    <w:rsid w:val="001848E1"/>
    <w:rsid w:val="001858B6"/>
    <w:rsid w:val="00185907"/>
    <w:rsid w:val="00186446"/>
    <w:rsid w:val="00186884"/>
    <w:rsid w:val="001871B8"/>
    <w:rsid w:val="00187B89"/>
    <w:rsid w:val="00190058"/>
    <w:rsid w:val="00190415"/>
    <w:rsid w:val="001904BA"/>
    <w:rsid w:val="001905D8"/>
    <w:rsid w:val="0019082E"/>
    <w:rsid w:val="00191D3E"/>
    <w:rsid w:val="00191D4A"/>
    <w:rsid w:val="00191F89"/>
    <w:rsid w:val="00192A85"/>
    <w:rsid w:val="00192AE2"/>
    <w:rsid w:val="00192D37"/>
    <w:rsid w:val="001935AE"/>
    <w:rsid w:val="001938D6"/>
    <w:rsid w:val="00194281"/>
    <w:rsid w:val="00194C98"/>
    <w:rsid w:val="0019504D"/>
    <w:rsid w:val="0019515D"/>
    <w:rsid w:val="001956FC"/>
    <w:rsid w:val="00195EE9"/>
    <w:rsid w:val="00197792"/>
    <w:rsid w:val="001A00C7"/>
    <w:rsid w:val="001A077E"/>
    <w:rsid w:val="001A0A65"/>
    <w:rsid w:val="001A13EC"/>
    <w:rsid w:val="001A1974"/>
    <w:rsid w:val="001A2030"/>
    <w:rsid w:val="001A2A19"/>
    <w:rsid w:val="001A2E4D"/>
    <w:rsid w:val="001A3AEE"/>
    <w:rsid w:val="001A405F"/>
    <w:rsid w:val="001A430E"/>
    <w:rsid w:val="001A47A1"/>
    <w:rsid w:val="001A4C17"/>
    <w:rsid w:val="001A4D29"/>
    <w:rsid w:val="001A515C"/>
    <w:rsid w:val="001A65F3"/>
    <w:rsid w:val="001A771F"/>
    <w:rsid w:val="001A7948"/>
    <w:rsid w:val="001A7AD3"/>
    <w:rsid w:val="001B0163"/>
    <w:rsid w:val="001B09C4"/>
    <w:rsid w:val="001B191E"/>
    <w:rsid w:val="001B25B0"/>
    <w:rsid w:val="001B29E3"/>
    <w:rsid w:val="001B3031"/>
    <w:rsid w:val="001B36A2"/>
    <w:rsid w:val="001B3A61"/>
    <w:rsid w:val="001B3C53"/>
    <w:rsid w:val="001B3D6A"/>
    <w:rsid w:val="001B46FC"/>
    <w:rsid w:val="001B4772"/>
    <w:rsid w:val="001B496E"/>
    <w:rsid w:val="001B4B21"/>
    <w:rsid w:val="001B4E19"/>
    <w:rsid w:val="001B525D"/>
    <w:rsid w:val="001B67C8"/>
    <w:rsid w:val="001B7423"/>
    <w:rsid w:val="001C0A99"/>
    <w:rsid w:val="001C0B25"/>
    <w:rsid w:val="001C2030"/>
    <w:rsid w:val="001C35C9"/>
    <w:rsid w:val="001C3967"/>
    <w:rsid w:val="001C4CF2"/>
    <w:rsid w:val="001C7644"/>
    <w:rsid w:val="001C772B"/>
    <w:rsid w:val="001C7F09"/>
    <w:rsid w:val="001C7F82"/>
    <w:rsid w:val="001D0E33"/>
    <w:rsid w:val="001D1683"/>
    <w:rsid w:val="001D18A1"/>
    <w:rsid w:val="001D2495"/>
    <w:rsid w:val="001D2873"/>
    <w:rsid w:val="001D34D6"/>
    <w:rsid w:val="001D3913"/>
    <w:rsid w:val="001D3BA4"/>
    <w:rsid w:val="001D4C4F"/>
    <w:rsid w:val="001D505C"/>
    <w:rsid w:val="001D5139"/>
    <w:rsid w:val="001D520B"/>
    <w:rsid w:val="001D632A"/>
    <w:rsid w:val="001D6EF1"/>
    <w:rsid w:val="001D75BB"/>
    <w:rsid w:val="001D78B3"/>
    <w:rsid w:val="001D7BC6"/>
    <w:rsid w:val="001D7BE5"/>
    <w:rsid w:val="001D7F7F"/>
    <w:rsid w:val="001E1548"/>
    <w:rsid w:val="001E18F3"/>
    <w:rsid w:val="001E231C"/>
    <w:rsid w:val="001E28F6"/>
    <w:rsid w:val="001E356E"/>
    <w:rsid w:val="001E362F"/>
    <w:rsid w:val="001E38CE"/>
    <w:rsid w:val="001E3BC1"/>
    <w:rsid w:val="001E403A"/>
    <w:rsid w:val="001E4293"/>
    <w:rsid w:val="001E4470"/>
    <w:rsid w:val="001E7539"/>
    <w:rsid w:val="001F11C0"/>
    <w:rsid w:val="001F1456"/>
    <w:rsid w:val="001F2071"/>
    <w:rsid w:val="001F2231"/>
    <w:rsid w:val="001F2794"/>
    <w:rsid w:val="001F27F5"/>
    <w:rsid w:val="001F2992"/>
    <w:rsid w:val="001F345C"/>
    <w:rsid w:val="001F3762"/>
    <w:rsid w:val="001F37B7"/>
    <w:rsid w:val="001F41AE"/>
    <w:rsid w:val="001F420C"/>
    <w:rsid w:val="001F65B8"/>
    <w:rsid w:val="001F6BAE"/>
    <w:rsid w:val="001F6F56"/>
    <w:rsid w:val="0020041A"/>
    <w:rsid w:val="00200518"/>
    <w:rsid w:val="0020141A"/>
    <w:rsid w:val="002016F0"/>
    <w:rsid w:val="00201E9B"/>
    <w:rsid w:val="002020A4"/>
    <w:rsid w:val="00202234"/>
    <w:rsid w:val="00202507"/>
    <w:rsid w:val="0020367A"/>
    <w:rsid w:val="00204774"/>
    <w:rsid w:val="002049EE"/>
    <w:rsid w:val="00204BB9"/>
    <w:rsid w:val="00204CF9"/>
    <w:rsid w:val="00205A51"/>
    <w:rsid w:val="00205C0D"/>
    <w:rsid w:val="00205F0B"/>
    <w:rsid w:val="0020623B"/>
    <w:rsid w:val="00206589"/>
    <w:rsid w:val="00207061"/>
    <w:rsid w:val="0020722F"/>
    <w:rsid w:val="00207BDA"/>
    <w:rsid w:val="002107D9"/>
    <w:rsid w:val="00210A30"/>
    <w:rsid w:val="0021171B"/>
    <w:rsid w:val="0021197C"/>
    <w:rsid w:val="00211BEE"/>
    <w:rsid w:val="00211F56"/>
    <w:rsid w:val="00212AB2"/>
    <w:rsid w:val="0021309E"/>
    <w:rsid w:val="0021314C"/>
    <w:rsid w:val="00213386"/>
    <w:rsid w:val="002135DA"/>
    <w:rsid w:val="002135E4"/>
    <w:rsid w:val="00213723"/>
    <w:rsid w:val="00213E87"/>
    <w:rsid w:val="00213FC4"/>
    <w:rsid w:val="00214283"/>
    <w:rsid w:val="002145FB"/>
    <w:rsid w:val="002146BD"/>
    <w:rsid w:val="0021517F"/>
    <w:rsid w:val="00215853"/>
    <w:rsid w:val="00215F88"/>
    <w:rsid w:val="00215FC4"/>
    <w:rsid w:val="00216225"/>
    <w:rsid w:val="002166BF"/>
    <w:rsid w:val="0021672B"/>
    <w:rsid w:val="002171FC"/>
    <w:rsid w:val="0021740B"/>
    <w:rsid w:val="00217794"/>
    <w:rsid w:val="00217B54"/>
    <w:rsid w:val="002202D5"/>
    <w:rsid w:val="00221430"/>
    <w:rsid w:val="0022170C"/>
    <w:rsid w:val="00222408"/>
    <w:rsid w:val="002225FD"/>
    <w:rsid w:val="00222733"/>
    <w:rsid w:val="002228F3"/>
    <w:rsid w:val="00222918"/>
    <w:rsid w:val="00222C4C"/>
    <w:rsid w:val="002230CF"/>
    <w:rsid w:val="00224914"/>
    <w:rsid w:val="00224A38"/>
    <w:rsid w:val="0022548A"/>
    <w:rsid w:val="002258C5"/>
    <w:rsid w:val="00225ADE"/>
    <w:rsid w:val="00226151"/>
    <w:rsid w:val="00226316"/>
    <w:rsid w:val="0023029F"/>
    <w:rsid w:val="00231053"/>
    <w:rsid w:val="00231754"/>
    <w:rsid w:val="002322A9"/>
    <w:rsid w:val="00232597"/>
    <w:rsid w:val="002337F8"/>
    <w:rsid w:val="00233DAC"/>
    <w:rsid w:val="00233E98"/>
    <w:rsid w:val="00233EDC"/>
    <w:rsid w:val="00234186"/>
    <w:rsid w:val="00234389"/>
    <w:rsid w:val="002356E2"/>
    <w:rsid w:val="002358CE"/>
    <w:rsid w:val="00235D4E"/>
    <w:rsid w:val="0023618E"/>
    <w:rsid w:val="00236BDC"/>
    <w:rsid w:val="00237658"/>
    <w:rsid w:val="0024049B"/>
    <w:rsid w:val="0024071A"/>
    <w:rsid w:val="00242042"/>
    <w:rsid w:val="00242366"/>
    <w:rsid w:val="0024247A"/>
    <w:rsid w:val="00243212"/>
    <w:rsid w:val="00243BA7"/>
    <w:rsid w:val="0024560B"/>
    <w:rsid w:val="00245804"/>
    <w:rsid w:val="00245B28"/>
    <w:rsid w:val="00245C94"/>
    <w:rsid w:val="00245E94"/>
    <w:rsid w:val="00245FFB"/>
    <w:rsid w:val="0024610C"/>
    <w:rsid w:val="00246136"/>
    <w:rsid w:val="0024645E"/>
    <w:rsid w:val="00246E6A"/>
    <w:rsid w:val="00247122"/>
    <w:rsid w:val="00247552"/>
    <w:rsid w:val="00247936"/>
    <w:rsid w:val="0025003C"/>
    <w:rsid w:val="002500CD"/>
    <w:rsid w:val="00251479"/>
    <w:rsid w:val="002514A8"/>
    <w:rsid w:val="00251657"/>
    <w:rsid w:val="002516C6"/>
    <w:rsid w:val="00251BCD"/>
    <w:rsid w:val="00251C27"/>
    <w:rsid w:val="0025228B"/>
    <w:rsid w:val="002526EE"/>
    <w:rsid w:val="002527DB"/>
    <w:rsid w:val="00252C86"/>
    <w:rsid w:val="00252EF0"/>
    <w:rsid w:val="00253633"/>
    <w:rsid w:val="002538A1"/>
    <w:rsid w:val="00253C16"/>
    <w:rsid w:val="002543AB"/>
    <w:rsid w:val="002549E8"/>
    <w:rsid w:val="00254CD7"/>
    <w:rsid w:val="00254DF1"/>
    <w:rsid w:val="00255641"/>
    <w:rsid w:val="00256633"/>
    <w:rsid w:val="00256FF2"/>
    <w:rsid w:val="00257699"/>
    <w:rsid w:val="00257EF8"/>
    <w:rsid w:val="00260233"/>
    <w:rsid w:val="00260313"/>
    <w:rsid w:val="0026037A"/>
    <w:rsid w:val="002605F4"/>
    <w:rsid w:val="00260F26"/>
    <w:rsid w:val="00261A48"/>
    <w:rsid w:val="00263D9D"/>
    <w:rsid w:val="00264751"/>
    <w:rsid w:val="0026486A"/>
    <w:rsid w:val="00264CC7"/>
    <w:rsid w:val="00265335"/>
    <w:rsid w:val="00265492"/>
    <w:rsid w:val="00266323"/>
    <w:rsid w:val="00267034"/>
    <w:rsid w:val="00267809"/>
    <w:rsid w:val="00270509"/>
    <w:rsid w:val="002706F1"/>
    <w:rsid w:val="00270FE3"/>
    <w:rsid w:val="00271868"/>
    <w:rsid w:val="00271BEA"/>
    <w:rsid w:val="00272226"/>
    <w:rsid w:val="002728B4"/>
    <w:rsid w:val="00273C9F"/>
    <w:rsid w:val="002747E7"/>
    <w:rsid w:val="002748E8"/>
    <w:rsid w:val="00274BE6"/>
    <w:rsid w:val="00275A76"/>
    <w:rsid w:val="00275E8F"/>
    <w:rsid w:val="00276292"/>
    <w:rsid w:val="0027662C"/>
    <w:rsid w:val="0027670C"/>
    <w:rsid w:val="0027693E"/>
    <w:rsid w:val="0028004B"/>
    <w:rsid w:val="00280BAC"/>
    <w:rsid w:val="00281150"/>
    <w:rsid w:val="0028306B"/>
    <w:rsid w:val="0028343C"/>
    <w:rsid w:val="00283983"/>
    <w:rsid w:val="00284631"/>
    <w:rsid w:val="00284837"/>
    <w:rsid w:val="00284B0A"/>
    <w:rsid w:val="00285B65"/>
    <w:rsid w:val="00285C83"/>
    <w:rsid w:val="002860F1"/>
    <w:rsid w:val="002863AA"/>
    <w:rsid w:val="002902B7"/>
    <w:rsid w:val="002910B9"/>
    <w:rsid w:val="002913A0"/>
    <w:rsid w:val="0029159E"/>
    <w:rsid w:val="00291C68"/>
    <w:rsid w:val="00291F01"/>
    <w:rsid w:val="00292947"/>
    <w:rsid w:val="002930AA"/>
    <w:rsid w:val="002930B1"/>
    <w:rsid w:val="002932AD"/>
    <w:rsid w:val="002933DC"/>
    <w:rsid w:val="00293665"/>
    <w:rsid w:val="00293DEB"/>
    <w:rsid w:val="0029410D"/>
    <w:rsid w:val="00294550"/>
    <w:rsid w:val="00295598"/>
    <w:rsid w:val="002961EC"/>
    <w:rsid w:val="00296BF1"/>
    <w:rsid w:val="00296F64"/>
    <w:rsid w:val="00297536"/>
    <w:rsid w:val="00297D30"/>
    <w:rsid w:val="002A0297"/>
    <w:rsid w:val="002A0643"/>
    <w:rsid w:val="002A11F5"/>
    <w:rsid w:val="002A12A2"/>
    <w:rsid w:val="002A1B53"/>
    <w:rsid w:val="002A1F0B"/>
    <w:rsid w:val="002A2289"/>
    <w:rsid w:val="002A23EA"/>
    <w:rsid w:val="002A2EFC"/>
    <w:rsid w:val="002A3FD3"/>
    <w:rsid w:val="002A4CEF"/>
    <w:rsid w:val="002A4F0B"/>
    <w:rsid w:val="002A51B7"/>
    <w:rsid w:val="002A5458"/>
    <w:rsid w:val="002A574E"/>
    <w:rsid w:val="002A57E9"/>
    <w:rsid w:val="002A5898"/>
    <w:rsid w:val="002A69B5"/>
    <w:rsid w:val="002A7C1E"/>
    <w:rsid w:val="002A7E3B"/>
    <w:rsid w:val="002A7FE8"/>
    <w:rsid w:val="002B0815"/>
    <w:rsid w:val="002B0968"/>
    <w:rsid w:val="002B09C5"/>
    <w:rsid w:val="002B0C0F"/>
    <w:rsid w:val="002B117D"/>
    <w:rsid w:val="002B13C4"/>
    <w:rsid w:val="002B2455"/>
    <w:rsid w:val="002B2CE3"/>
    <w:rsid w:val="002B3590"/>
    <w:rsid w:val="002B3715"/>
    <w:rsid w:val="002B3B56"/>
    <w:rsid w:val="002B47E8"/>
    <w:rsid w:val="002B4DE4"/>
    <w:rsid w:val="002B539E"/>
    <w:rsid w:val="002B57B3"/>
    <w:rsid w:val="002B654D"/>
    <w:rsid w:val="002B6FB7"/>
    <w:rsid w:val="002C002B"/>
    <w:rsid w:val="002C04D9"/>
    <w:rsid w:val="002C2319"/>
    <w:rsid w:val="002C242E"/>
    <w:rsid w:val="002C2585"/>
    <w:rsid w:val="002C324F"/>
    <w:rsid w:val="002C3CD9"/>
    <w:rsid w:val="002C591C"/>
    <w:rsid w:val="002C5F1B"/>
    <w:rsid w:val="002C61A8"/>
    <w:rsid w:val="002C624E"/>
    <w:rsid w:val="002C63FC"/>
    <w:rsid w:val="002C6A6A"/>
    <w:rsid w:val="002C7633"/>
    <w:rsid w:val="002C7880"/>
    <w:rsid w:val="002C7C0D"/>
    <w:rsid w:val="002D078E"/>
    <w:rsid w:val="002D0AD3"/>
    <w:rsid w:val="002D0C1A"/>
    <w:rsid w:val="002D0E78"/>
    <w:rsid w:val="002D13F9"/>
    <w:rsid w:val="002D1657"/>
    <w:rsid w:val="002D1B60"/>
    <w:rsid w:val="002D22D1"/>
    <w:rsid w:val="002D2452"/>
    <w:rsid w:val="002D273B"/>
    <w:rsid w:val="002D2936"/>
    <w:rsid w:val="002D3B9C"/>
    <w:rsid w:val="002D43F2"/>
    <w:rsid w:val="002D4AB6"/>
    <w:rsid w:val="002D52FF"/>
    <w:rsid w:val="002D5586"/>
    <w:rsid w:val="002D5E20"/>
    <w:rsid w:val="002D5E98"/>
    <w:rsid w:val="002D6626"/>
    <w:rsid w:val="002D6796"/>
    <w:rsid w:val="002D6D44"/>
    <w:rsid w:val="002D7282"/>
    <w:rsid w:val="002D72FF"/>
    <w:rsid w:val="002E0827"/>
    <w:rsid w:val="002E085F"/>
    <w:rsid w:val="002E08D4"/>
    <w:rsid w:val="002E08F6"/>
    <w:rsid w:val="002E0AF7"/>
    <w:rsid w:val="002E1386"/>
    <w:rsid w:val="002E14E1"/>
    <w:rsid w:val="002E1B72"/>
    <w:rsid w:val="002E2DD8"/>
    <w:rsid w:val="002E32EF"/>
    <w:rsid w:val="002E33D9"/>
    <w:rsid w:val="002E38C1"/>
    <w:rsid w:val="002E3F6A"/>
    <w:rsid w:val="002E4065"/>
    <w:rsid w:val="002E4A87"/>
    <w:rsid w:val="002E4EE6"/>
    <w:rsid w:val="002E5345"/>
    <w:rsid w:val="002E54F0"/>
    <w:rsid w:val="002E6CEE"/>
    <w:rsid w:val="002E6E4F"/>
    <w:rsid w:val="002E6E70"/>
    <w:rsid w:val="002E6F59"/>
    <w:rsid w:val="002E72B3"/>
    <w:rsid w:val="002E74F8"/>
    <w:rsid w:val="002E750A"/>
    <w:rsid w:val="002E7790"/>
    <w:rsid w:val="002E7CD6"/>
    <w:rsid w:val="002F005D"/>
    <w:rsid w:val="002F04E6"/>
    <w:rsid w:val="002F076C"/>
    <w:rsid w:val="002F14BD"/>
    <w:rsid w:val="002F1B3C"/>
    <w:rsid w:val="002F280C"/>
    <w:rsid w:val="002F28E1"/>
    <w:rsid w:val="002F35E5"/>
    <w:rsid w:val="002F362C"/>
    <w:rsid w:val="002F3F1C"/>
    <w:rsid w:val="002F40F5"/>
    <w:rsid w:val="002F4130"/>
    <w:rsid w:val="002F600F"/>
    <w:rsid w:val="002F6A15"/>
    <w:rsid w:val="002F7B19"/>
    <w:rsid w:val="002F7D91"/>
    <w:rsid w:val="003001C5"/>
    <w:rsid w:val="0030065A"/>
    <w:rsid w:val="00300893"/>
    <w:rsid w:val="003008AA"/>
    <w:rsid w:val="003009A8"/>
    <w:rsid w:val="003013B4"/>
    <w:rsid w:val="00301A6D"/>
    <w:rsid w:val="003020F1"/>
    <w:rsid w:val="00302280"/>
    <w:rsid w:val="00302965"/>
    <w:rsid w:val="00303092"/>
    <w:rsid w:val="003034C9"/>
    <w:rsid w:val="00304010"/>
    <w:rsid w:val="00304DB2"/>
    <w:rsid w:val="0030680E"/>
    <w:rsid w:val="00306BA3"/>
    <w:rsid w:val="00311577"/>
    <w:rsid w:val="0031211E"/>
    <w:rsid w:val="00312B2D"/>
    <w:rsid w:val="00312B7A"/>
    <w:rsid w:val="003131E8"/>
    <w:rsid w:val="003137E5"/>
    <w:rsid w:val="00314160"/>
    <w:rsid w:val="003143B0"/>
    <w:rsid w:val="003146E7"/>
    <w:rsid w:val="00314851"/>
    <w:rsid w:val="003151EC"/>
    <w:rsid w:val="003157B8"/>
    <w:rsid w:val="003159DE"/>
    <w:rsid w:val="0031618D"/>
    <w:rsid w:val="00316677"/>
    <w:rsid w:val="003167D2"/>
    <w:rsid w:val="0031687D"/>
    <w:rsid w:val="0031755B"/>
    <w:rsid w:val="0031761A"/>
    <w:rsid w:val="00317B70"/>
    <w:rsid w:val="00320E7A"/>
    <w:rsid w:val="00320EF3"/>
    <w:rsid w:val="00320F91"/>
    <w:rsid w:val="00321B3F"/>
    <w:rsid w:val="003222A7"/>
    <w:rsid w:val="003226A0"/>
    <w:rsid w:val="00322F63"/>
    <w:rsid w:val="00322FE8"/>
    <w:rsid w:val="003232BC"/>
    <w:rsid w:val="00323438"/>
    <w:rsid w:val="00323A61"/>
    <w:rsid w:val="00323AAD"/>
    <w:rsid w:val="00323FBD"/>
    <w:rsid w:val="00324746"/>
    <w:rsid w:val="003253C7"/>
    <w:rsid w:val="00325E27"/>
    <w:rsid w:val="0032626D"/>
    <w:rsid w:val="0032659B"/>
    <w:rsid w:val="003265AE"/>
    <w:rsid w:val="0032661B"/>
    <w:rsid w:val="00326DB4"/>
    <w:rsid w:val="00330FA7"/>
    <w:rsid w:val="00331019"/>
    <w:rsid w:val="00331253"/>
    <w:rsid w:val="0033197D"/>
    <w:rsid w:val="00331ABD"/>
    <w:rsid w:val="003322AC"/>
    <w:rsid w:val="003329C7"/>
    <w:rsid w:val="0033300B"/>
    <w:rsid w:val="00333053"/>
    <w:rsid w:val="00334024"/>
    <w:rsid w:val="00334058"/>
    <w:rsid w:val="00334389"/>
    <w:rsid w:val="00335491"/>
    <w:rsid w:val="00336751"/>
    <w:rsid w:val="00340562"/>
    <w:rsid w:val="003410D3"/>
    <w:rsid w:val="00341652"/>
    <w:rsid w:val="00341732"/>
    <w:rsid w:val="00342340"/>
    <w:rsid w:val="00342ED6"/>
    <w:rsid w:val="00343457"/>
    <w:rsid w:val="003440A7"/>
    <w:rsid w:val="00346C78"/>
    <w:rsid w:val="00346E2C"/>
    <w:rsid w:val="00346E46"/>
    <w:rsid w:val="003476CB"/>
    <w:rsid w:val="00350C94"/>
    <w:rsid w:val="003510E8"/>
    <w:rsid w:val="00353239"/>
    <w:rsid w:val="0035385A"/>
    <w:rsid w:val="00353CA0"/>
    <w:rsid w:val="00354336"/>
    <w:rsid w:val="00354622"/>
    <w:rsid w:val="00354E82"/>
    <w:rsid w:val="00356462"/>
    <w:rsid w:val="0035655D"/>
    <w:rsid w:val="00357595"/>
    <w:rsid w:val="00357833"/>
    <w:rsid w:val="0035797A"/>
    <w:rsid w:val="00357C04"/>
    <w:rsid w:val="00357C4D"/>
    <w:rsid w:val="003605C7"/>
    <w:rsid w:val="00360707"/>
    <w:rsid w:val="00361248"/>
    <w:rsid w:val="0036146F"/>
    <w:rsid w:val="0036224D"/>
    <w:rsid w:val="003636F5"/>
    <w:rsid w:val="0036370F"/>
    <w:rsid w:val="00364341"/>
    <w:rsid w:val="00364DE0"/>
    <w:rsid w:val="00366635"/>
    <w:rsid w:val="0036677D"/>
    <w:rsid w:val="00367017"/>
    <w:rsid w:val="0036734D"/>
    <w:rsid w:val="0037019E"/>
    <w:rsid w:val="003702C4"/>
    <w:rsid w:val="003704F1"/>
    <w:rsid w:val="00370836"/>
    <w:rsid w:val="00370F59"/>
    <w:rsid w:val="003714FA"/>
    <w:rsid w:val="00371EF4"/>
    <w:rsid w:val="003722F4"/>
    <w:rsid w:val="00373043"/>
    <w:rsid w:val="00373C41"/>
    <w:rsid w:val="00373CBD"/>
    <w:rsid w:val="003741A1"/>
    <w:rsid w:val="003744A9"/>
    <w:rsid w:val="00374CA0"/>
    <w:rsid w:val="00375048"/>
    <w:rsid w:val="00375137"/>
    <w:rsid w:val="00375AF8"/>
    <w:rsid w:val="00375D36"/>
    <w:rsid w:val="00375EFD"/>
    <w:rsid w:val="003760D9"/>
    <w:rsid w:val="00376350"/>
    <w:rsid w:val="0037651B"/>
    <w:rsid w:val="003772BD"/>
    <w:rsid w:val="00377510"/>
    <w:rsid w:val="0037796F"/>
    <w:rsid w:val="00377A0B"/>
    <w:rsid w:val="003803A8"/>
    <w:rsid w:val="0038076E"/>
    <w:rsid w:val="00380BA4"/>
    <w:rsid w:val="00380F0A"/>
    <w:rsid w:val="003811D4"/>
    <w:rsid w:val="0038205C"/>
    <w:rsid w:val="00382C00"/>
    <w:rsid w:val="0038397F"/>
    <w:rsid w:val="003844B1"/>
    <w:rsid w:val="003846C4"/>
    <w:rsid w:val="00384E0D"/>
    <w:rsid w:val="003852AD"/>
    <w:rsid w:val="00385642"/>
    <w:rsid w:val="00385DC5"/>
    <w:rsid w:val="003862FF"/>
    <w:rsid w:val="003863AC"/>
    <w:rsid w:val="00386535"/>
    <w:rsid w:val="00387F5D"/>
    <w:rsid w:val="0039171A"/>
    <w:rsid w:val="003918F4"/>
    <w:rsid w:val="00391C1A"/>
    <w:rsid w:val="003934D4"/>
    <w:rsid w:val="0039412D"/>
    <w:rsid w:val="003942B9"/>
    <w:rsid w:val="00394763"/>
    <w:rsid w:val="0039495D"/>
    <w:rsid w:val="00395453"/>
    <w:rsid w:val="00395D8C"/>
    <w:rsid w:val="00396218"/>
    <w:rsid w:val="0039660B"/>
    <w:rsid w:val="00396784"/>
    <w:rsid w:val="00396DF1"/>
    <w:rsid w:val="003978F5"/>
    <w:rsid w:val="00397E24"/>
    <w:rsid w:val="003A03FF"/>
    <w:rsid w:val="003A04FB"/>
    <w:rsid w:val="003A1E25"/>
    <w:rsid w:val="003A27C5"/>
    <w:rsid w:val="003A2C4B"/>
    <w:rsid w:val="003A30CF"/>
    <w:rsid w:val="003A323F"/>
    <w:rsid w:val="003A388E"/>
    <w:rsid w:val="003A3E08"/>
    <w:rsid w:val="003A3E95"/>
    <w:rsid w:val="003A456A"/>
    <w:rsid w:val="003A4683"/>
    <w:rsid w:val="003A676F"/>
    <w:rsid w:val="003A6DA7"/>
    <w:rsid w:val="003A6DEA"/>
    <w:rsid w:val="003A6DFF"/>
    <w:rsid w:val="003A75CC"/>
    <w:rsid w:val="003A76B4"/>
    <w:rsid w:val="003A7BB7"/>
    <w:rsid w:val="003A7CE8"/>
    <w:rsid w:val="003B0DE4"/>
    <w:rsid w:val="003B1435"/>
    <w:rsid w:val="003B1EE8"/>
    <w:rsid w:val="003B226D"/>
    <w:rsid w:val="003B2B0A"/>
    <w:rsid w:val="003B32A4"/>
    <w:rsid w:val="003B3C30"/>
    <w:rsid w:val="003B5B20"/>
    <w:rsid w:val="003B5E78"/>
    <w:rsid w:val="003B6636"/>
    <w:rsid w:val="003B69C5"/>
    <w:rsid w:val="003B6F34"/>
    <w:rsid w:val="003B6FDC"/>
    <w:rsid w:val="003C0254"/>
    <w:rsid w:val="003C07C3"/>
    <w:rsid w:val="003C0AEF"/>
    <w:rsid w:val="003C0C96"/>
    <w:rsid w:val="003C1252"/>
    <w:rsid w:val="003C14C4"/>
    <w:rsid w:val="003C15B0"/>
    <w:rsid w:val="003C2443"/>
    <w:rsid w:val="003C2683"/>
    <w:rsid w:val="003C2725"/>
    <w:rsid w:val="003C2C45"/>
    <w:rsid w:val="003C2FB4"/>
    <w:rsid w:val="003C3726"/>
    <w:rsid w:val="003C40FE"/>
    <w:rsid w:val="003C5C4C"/>
    <w:rsid w:val="003C5C8C"/>
    <w:rsid w:val="003C6CD4"/>
    <w:rsid w:val="003C701A"/>
    <w:rsid w:val="003C7DB9"/>
    <w:rsid w:val="003D050C"/>
    <w:rsid w:val="003D1146"/>
    <w:rsid w:val="003D1185"/>
    <w:rsid w:val="003D1567"/>
    <w:rsid w:val="003D1CF1"/>
    <w:rsid w:val="003D2056"/>
    <w:rsid w:val="003D2646"/>
    <w:rsid w:val="003D2A95"/>
    <w:rsid w:val="003D3350"/>
    <w:rsid w:val="003D3DDC"/>
    <w:rsid w:val="003D4E3A"/>
    <w:rsid w:val="003D51D5"/>
    <w:rsid w:val="003D55CB"/>
    <w:rsid w:val="003D58F3"/>
    <w:rsid w:val="003D6361"/>
    <w:rsid w:val="003D63FF"/>
    <w:rsid w:val="003D6BAD"/>
    <w:rsid w:val="003D735D"/>
    <w:rsid w:val="003D7463"/>
    <w:rsid w:val="003D775A"/>
    <w:rsid w:val="003D7BDE"/>
    <w:rsid w:val="003D7D4B"/>
    <w:rsid w:val="003E0F49"/>
    <w:rsid w:val="003E1C37"/>
    <w:rsid w:val="003E1F92"/>
    <w:rsid w:val="003E2243"/>
    <w:rsid w:val="003E2F60"/>
    <w:rsid w:val="003E3CA9"/>
    <w:rsid w:val="003E46A7"/>
    <w:rsid w:val="003E4CE2"/>
    <w:rsid w:val="003E4D70"/>
    <w:rsid w:val="003E4FE7"/>
    <w:rsid w:val="003E557B"/>
    <w:rsid w:val="003E600C"/>
    <w:rsid w:val="003E6324"/>
    <w:rsid w:val="003E63D2"/>
    <w:rsid w:val="003E653E"/>
    <w:rsid w:val="003E77B5"/>
    <w:rsid w:val="003E7946"/>
    <w:rsid w:val="003E7A80"/>
    <w:rsid w:val="003F0465"/>
    <w:rsid w:val="003F069F"/>
    <w:rsid w:val="003F07D9"/>
    <w:rsid w:val="003F1AEC"/>
    <w:rsid w:val="003F2AA8"/>
    <w:rsid w:val="003F41D0"/>
    <w:rsid w:val="003F4580"/>
    <w:rsid w:val="003F526A"/>
    <w:rsid w:val="003F570F"/>
    <w:rsid w:val="003F5764"/>
    <w:rsid w:val="003F61A9"/>
    <w:rsid w:val="003F7233"/>
    <w:rsid w:val="003F7D84"/>
    <w:rsid w:val="00400C54"/>
    <w:rsid w:val="0040228B"/>
    <w:rsid w:val="004023E4"/>
    <w:rsid w:val="004028E9"/>
    <w:rsid w:val="00402E47"/>
    <w:rsid w:val="00402F75"/>
    <w:rsid w:val="0040423E"/>
    <w:rsid w:val="004045CA"/>
    <w:rsid w:val="00404EA4"/>
    <w:rsid w:val="00405477"/>
    <w:rsid w:val="0040614A"/>
    <w:rsid w:val="00406826"/>
    <w:rsid w:val="004069E9"/>
    <w:rsid w:val="00406FED"/>
    <w:rsid w:val="004106E1"/>
    <w:rsid w:val="0041079E"/>
    <w:rsid w:val="00410D32"/>
    <w:rsid w:val="004119E2"/>
    <w:rsid w:val="00411AE3"/>
    <w:rsid w:val="00411E2C"/>
    <w:rsid w:val="00412A95"/>
    <w:rsid w:val="004137E8"/>
    <w:rsid w:val="00413A27"/>
    <w:rsid w:val="00414236"/>
    <w:rsid w:val="00414EDC"/>
    <w:rsid w:val="00415F77"/>
    <w:rsid w:val="004162EB"/>
    <w:rsid w:val="00416620"/>
    <w:rsid w:val="00417139"/>
    <w:rsid w:val="004171E0"/>
    <w:rsid w:val="00420202"/>
    <w:rsid w:val="00420C1A"/>
    <w:rsid w:val="00421CAB"/>
    <w:rsid w:val="00421E68"/>
    <w:rsid w:val="004225BA"/>
    <w:rsid w:val="00422C65"/>
    <w:rsid w:val="00422E59"/>
    <w:rsid w:val="0042359F"/>
    <w:rsid w:val="00424968"/>
    <w:rsid w:val="00424A75"/>
    <w:rsid w:val="00424A93"/>
    <w:rsid w:val="00424C3C"/>
    <w:rsid w:val="00425405"/>
    <w:rsid w:val="00425E71"/>
    <w:rsid w:val="00427283"/>
    <w:rsid w:val="00427ABC"/>
    <w:rsid w:val="00427C84"/>
    <w:rsid w:val="00427F01"/>
    <w:rsid w:val="00427FAA"/>
    <w:rsid w:val="004302D1"/>
    <w:rsid w:val="00430561"/>
    <w:rsid w:val="00430668"/>
    <w:rsid w:val="00430D41"/>
    <w:rsid w:val="00430DDC"/>
    <w:rsid w:val="004311CA"/>
    <w:rsid w:val="00431368"/>
    <w:rsid w:val="004314A6"/>
    <w:rsid w:val="00431C27"/>
    <w:rsid w:val="00431F74"/>
    <w:rsid w:val="00432272"/>
    <w:rsid w:val="00432C4E"/>
    <w:rsid w:val="004330CF"/>
    <w:rsid w:val="00433473"/>
    <w:rsid w:val="00433864"/>
    <w:rsid w:val="0043402C"/>
    <w:rsid w:val="004342DE"/>
    <w:rsid w:val="004344FA"/>
    <w:rsid w:val="00434E12"/>
    <w:rsid w:val="00434FAF"/>
    <w:rsid w:val="0043500E"/>
    <w:rsid w:val="00435A70"/>
    <w:rsid w:val="004363A6"/>
    <w:rsid w:val="00436405"/>
    <w:rsid w:val="004369DA"/>
    <w:rsid w:val="0043771D"/>
    <w:rsid w:val="00440A07"/>
    <w:rsid w:val="00441776"/>
    <w:rsid w:val="00441B15"/>
    <w:rsid w:val="0044225E"/>
    <w:rsid w:val="004429CA"/>
    <w:rsid w:val="00442DF5"/>
    <w:rsid w:val="00443254"/>
    <w:rsid w:val="00443721"/>
    <w:rsid w:val="004443A2"/>
    <w:rsid w:val="004445EC"/>
    <w:rsid w:val="00444C88"/>
    <w:rsid w:val="00444FA3"/>
    <w:rsid w:val="004451B9"/>
    <w:rsid w:val="004465A2"/>
    <w:rsid w:val="0044680C"/>
    <w:rsid w:val="00446E54"/>
    <w:rsid w:val="004470F7"/>
    <w:rsid w:val="00447196"/>
    <w:rsid w:val="00450331"/>
    <w:rsid w:val="00450616"/>
    <w:rsid w:val="00450AA1"/>
    <w:rsid w:val="004510B5"/>
    <w:rsid w:val="0045119B"/>
    <w:rsid w:val="00451E4B"/>
    <w:rsid w:val="00452CE3"/>
    <w:rsid w:val="004538AC"/>
    <w:rsid w:val="00453C7D"/>
    <w:rsid w:val="00454D6B"/>
    <w:rsid w:val="004559D8"/>
    <w:rsid w:val="00455EE5"/>
    <w:rsid w:val="004560AD"/>
    <w:rsid w:val="0045785A"/>
    <w:rsid w:val="00460363"/>
    <w:rsid w:val="00460624"/>
    <w:rsid w:val="004606BE"/>
    <w:rsid w:val="00460A41"/>
    <w:rsid w:val="00460DBB"/>
    <w:rsid w:val="004610EF"/>
    <w:rsid w:val="00461658"/>
    <w:rsid w:val="0046189F"/>
    <w:rsid w:val="00461BF3"/>
    <w:rsid w:val="004632D7"/>
    <w:rsid w:val="00463AA5"/>
    <w:rsid w:val="00463ECE"/>
    <w:rsid w:val="00463F20"/>
    <w:rsid w:val="004640CC"/>
    <w:rsid w:val="00464EB6"/>
    <w:rsid w:val="004650A7"/>
    <w:rsid w:val="0046548F"/>
    <w:rsid w:val="00466339"/>
    <w:rsid w:val="004663EB"/>
    <w:rsid w:val="00466806"/>
    <w:rsid w:val="00467A9F"/>
    <w:rsid w:val="00467D91"/>
    <w:rsid w:val="0047051D"/>
    <w:rsid w:val="004716F6"/>
    <w:rsid w:val="0047172D"/>
    <w:rsid w:val="0047253D"/>
    <w:rsid w:val="00472E49"/>
    <w:rsid w:val="004730B9"/>
    <w:rsid w:val="004732A0"/>
    <w:rsid w:val="00473C40"/>
    <w:rsid w:val="00473D19"/>
    <w:rsid w:val="00473E87"/>
    <w:rsid w:val="00474AE0"/>
    <w:rsid w:val="00474BB6"/>
    <w:rsid w:val="004754C0"/>
    <w:rsid w:val="00475F25"/>
    <w:rsid w:val="0047676E"/>
    <w:rsid w:val="00476F12"/>
    <w:rsid w:val="004772C0"/>
    <w:rsid w:val="004775E3"/>
    <w:rsid w:val="00477C82"/>
    <w:rsid w:val="0048030B"/>
    <w:rsid w:val="004809BC"/>
    <w:rsid w:val="004810C7"/>
    <w:rsid w:val="004822A2"/>
    <w:rsid w:val="00482956"/>
    <w:rsid w:val="004829DB"/>
    <w:rsid w:val="00482D37"/>
    <w:rsid w:val="004830F3"/>
    <w:rsid w:val="00483813"/>
    <w:rsid w:val="00483905"/>
    <w:rsid w:val="00484141"/>
    <w:rsid w:val="004841BF"/>
    <w:rsid w:val="00484A01"/>
    <w:rsid w:val="004850B5"/>
    <w:rsid w:val="004850B6"/>
    <w:rsid w:val="004859DA"/>
    <w:rsid w:val="00486363"/>
    <w:rsid w:val="00486525"/>
    <w:rsid w:val="00486991"/>
    <w:rsid w:val="00486A6D"/>
    <w:rsid w:val="0048714A"/>
    <w:rsid w:val="004876D4"/>
    <w:rsid w:val="00487D37"/>
    <w:rsid w:val="0049027B"/>
    <w:rsid w:val="00491168"/>
    <w:rsid w:val="004918F0"/>
    <w:rsid w:val="0049217F"/>
    <w:rsid w:val="00492536"/>
    <w:rsid w:val="00494223"/>
    <w:rsid w:val="0049494C"/>
    <w:rsid w:val="00495807"/>
    <w:rsid w:val="00495F7D"/>
    <w:rsid w:val="00495FEE"/>
    <w:rsid w:val="00496095"/>
    <w:rsid w:val="00496385"/>
    <w:rsid w:val="00496D68"/>
    <w:rsid w:val="004A08D9"/>
    <w:rsid w:val="004A0987"/>
    <w:rsid w:val="004A1B19"/>
    <w:rsid w:val="004A290F"/>
    <w:rsid w:val="004A2E1E"/>
    <w:rsid w:val="004A3546"/>
    <w:rsid w:val="004A4235"/>
    <w:rsid w:val="004A45FF"/>
    <w:rsid w:val="004A6AFE"/>
    <w:rsid w:val="004A7E46"/>
    <w:rsid w:val="004B0BE6"/>
    <w:rsid w:val="004B1A3C"/>
    <w:rsid w:val="004B32A1"/>
    <w:rsid w:val="004B35A3"/>
    <w:rsid w:val="004B4E09"/>
    <w:rsid w:val="004B5169"/>
    <w:rsid w:val="004B53F3"/>
    <w:rsid w:val="004B5ADC"/>
    <w:rsid w:val="004B64D9"/>
    <w:rsid w:val="004B7227"/>
    <w:rsid w:val="004B7D30"/>
    <w:rsid w:val="004C01EF"/>
    <w:rsid w:val="004C024D"/>
    <w:rsid w:val="004C0E80"/>
    <w:rsid w:val="004C1A69"/>
    <w:rsid w:val="004C266B"/>
    <w:rsid w:val="004C274F"/>
    <w:rsid w:val="004C2CAD"/>
    <w:rsid w:val="004C31CF"/>
    <w:rsid w:val="004C412B"/>
    <w:rsid w:val="004C4333"/>
    <w:rsid w:val="004C4B9D"/>
    <w:rsid w:val="004C4D8D"/>
    <w:rsid w:val="004C4E0F"/>
    <w:rsid w:val="004C58B8"/>
    <w:rsid w:val="004C5E72"/>
    <w:rsid w:val="004C6B22"/>
    <w:rsid w:val="004C6C6B"/>
    <w:rsid w:val="004C7FF1"/>
    <w:rsid w:val="004D01D3"/>
    <w:rsid w:val="004D0651"/>
    <w:rsid w:val="004D097D"/>
    <w:rsid w:val="004D1615"/>
    <w:rsid w:val="004D1AAC"/>
    <w:rsid w:val="004D20B7"/>
    <w:rsid w:val="004D29DD"/>
    <w:rsid w:val="004D3BC2"/>
    <w:rsid w:val="004D3BC9"/>
    <w:rsid w:val="004D5196"/>
    <w:rsid w:val="004D5799"/>
    <w:rsid w:val="004D6E5C"/>
    <w:rsid w:val="004D7053"/>
    <w:rsid w:val="004D7397"/>
    <w:rsid w:val="004D73ED"/>
    <w:rsid w:val="004D7811"/>
    <w:rsid w:val="004D7DAD"/>
    <w:rsid w:val="004E0295"/>
    <w:rsid w:val="004E04CD"/>
    <w:rsid w:val="004E088C"/>
    <w:rsid w:val="004E1B60"/>
    <w:rsid w:val="004E2AC7"/>
    <w:rsid w:val="004E3FB6"/>
    <w:rsid w:val="004E4D18"/>
    <w:rsid w:val="004E4F2F"/>
    <w:rsid w:val="004E57C0"/>
    <w:rsid w:val="004E59FE"/>
    <w:rsid w:val="004E6192"/>
    <w:rsid w:val="004E63BB"/>
    <w:rsid w:val="004E7600"/>
    <w:rsid w:val="004F0A1F"/>
    <w:rsid w:val="004F1368"/>
    <w:rsid w:val="004F16CA"/>
    <w:rsid w:val="004F1760"/>
    <w:rsid w:val="004F1979"/>
    <w:rsid w:val="004F1F1D"/>
    <w:rsid w:val="004F3507"/>
    <w:rsid w:val="004F43AA"/>
    <w:rsid w:val="004F43CD"/>
    <w:rsid w:val="004F4746"/>
    <w:rsid w:val="004F4ABE"/>
    <w:rsid w:val="004F51EB"/>
    <w:rsid w:val="004F5CFF"/>
    <w:rsid w:val="004F65A9"/>
    <w:rsid w:val="004F788E"/>
    <w:rsid w:val="004F7B91"/>
    <w:rsid w:val="004F7C58"/>
    <w:rsid w:val="00500325"/>
    <w:rsid w:val="00500908"/>
    <w:rsid w:val="00501458"/>
    <w:rsid w:val="00501569"/>
    <w:rsid w:val="00502C35"/>
    <w:rsid w:val="00502F17"/>
    <w:rsid w:val="0050326E"/>
    <w:rsid w:val="00503E15"/>
    <w:rsid w:val="00503F38"/>
    <w:rsid w:val="00503F9F"/>
    <w:rsid w:val="00504AE1"/>
    <w:rsid w:val="00506932"/>
    <w:rsid w:val="0050759A"/>
    <w:rsid w:val="0050759D"/>
    <w:rsid w:val="005108A9"/>
    <w:rsid w:val="005111C9"/>
    <w:rsid w:val="00511401"/>
    <w:rsid w:val="00511B21"/>
    <w:rsid w:val="00511E3A"/>
    <w:rsid w:val="00511F08"/>
    <w:rsid w:val="00512C5E"/>
    <w:rsid w:val="00512DC3"/>
    <w:rsid w:val="00513E3B"/>
    <w:rsid w:val="005141B7"/>
    <w:rsid w:val="005144E0"/>
    <w:rsid w:val="00516616"/>
    <w:rsid w:val="00516CA4"/>
    <w:rsid w:val="00516DF7"/>
    <w:rsid w:val="0051717E"/>
    <w:rsid w:val="00517C0B"/>
    <w:rsid w:val="00517DBF"/>
    <w:rsid w:val="00520205"/>
    <w:rsid w:val="00520573"/>
    <w:rsid w:val="005205DF"/>
    <w:rsid w:val="0052174F"/>
    <w:rsid w:val="00521D48"/>
    <w:rsid w:val="00521D95"/>
    <w:rsid w:val="005224AC"/>
    <w:rsid w:val="00523108"/>
    <w:rsid w:val="00523AE4"/>
    <w:rsid w:val="00523DF1"/>
    <w:rsid w:val="00524578"/>
    <w:rsid w:val="005247E7"/>
    <w:rsid w:val="00524B4F"/>
    <w:rsid w:val="005268EB"/>
    <w:rsid w:val="00526B95"/>
    <w:rsid w:val="00526F0F"/>
    <w:rsid w:val="00527830"/>
    <w:rsid w:val="005303B0"/>
    <w:rsid w:val="005312C4"/>
    <w:rsid w:val="00531DCC"/>
    <w:rsid w:val="0053203E"/>
    <w:rsid w:val="005323A6"/>
    <w:rsid w:val="00532889"/>
    <w:rsid w:val="00532D71"/>
    <w:rsid w:val="00532D7C"/>
    <w:rsid w:val="00533DED"/>
    <w:rsid w:val="005346F1"/>
    <w:rsid w:val="0053471A"/>
    <w:rsid w:val="00534F04"/>
    <w:rsid w:val="00535078"/>
    <w:rsid w:val="00535958"/>
    <w:rsid w:val="0053595C"/>
    <w:rsid w:val="00536188"/>
    <w:rsid w:val="00536521"/>
    <w:rsid w:val="00540005"/>
    <w:rsid w:val="005408AC"/>
    <w:rsid w:val="0054097C"/>
    <w:rsid w:val="005419C4"/>
    <w:rsid w:val="00541FFC"/>
    <w:rsid w:val="0054205E"/>
    <w:rsid w:val="005422C7"/>
    <w:rsid w:val="00542BD0"/>
    <w:rsid w:val="00543C0B"/>
    <w:rsid w:val="00544612"/>
    <w:rsid w:val="00544DA1"/>
    <w:rsid w:val="00545543"/>
    <w:rsid w:val="00545A9C"/>
    <w:rsid w:val="0054639E"/>
    <w:rsid w:val="0054658B"/>
    <w:rsid w:val="00547156"/>
    <w:rsid w:val="00547244"/>
    <w:rsid w:val="005501F5"/>
    <w:rsid w:val="00551377"/>
    <w:rsid w:val="00551B65"/>
    <w:rsid w:val="00551D85"/>
    <w:rsid w:val="00552B9B"/>
    <w:rsid w:val="005532EB"/>
    <w:rsid w:val="00553804"/>
    <w:rsid w:val="005539E7"/>
    <w:rsid w:val="00553CCC"/>
    <w:rsid w:val="005543CC"/>
    <w:rsid w:val="00554560"/>
    <w:rsid w:val="00554B79"/>
    <w:rsid w:val="00554E28"/>
    <w:rsid w:val="00555FC9"/>
    <w:rsid w:val="00556171"/>
    <w:rsid w:val="00556574"/>
    <w:rsid w:val="0055665A"/>
    <w:rsid w:val="005567A7"/>
    <w:rsid w:val="00557130"/>
    <w:rsid w:val="0055714B"/>
    <w:rsid w:val="00557D2B"/>
    <w:rsid w:val="00557D68"/>
    <w:rsid w:val="00557E4C"/>
    <w:rsid w:val="00560322"/>
    <w:rsid w:val="00561955"/>
    <w:rsid w:val="00561B91"/>
    <w:rsid w:val="005620CB"/>
    <w:rsid w:val="00562492"/>
    <w:rsid w:val="00563146"/>
    <w:rsid w:val="0056326F"/>
    <w:rsid w:val="005636BE"/>
    <w:rsid w:val="00563755"/>
    <w:rsid w:val="00563D81"/>
    <w:rsid w:val="00564921"/>
    <w:rsid w:val="00564D17"/>
    <w:rsid w:val="005654CE"/>
    <w:rsid w:val="00566781"/>
    <w:rsid w:val="00567141"/>
    <w:rsid w:val="0056783C"/>
    <w:rsid w:val="00570786"/>
    <w:rsid w:val="0057189D"/>
    <w:rsid w:val="00571AF2"/>
    <w:rsid w:val="00572DF5"/>
    <w:rsid w:val="005732DA"/>
    <w:rsid w:val="0057354C"/>
    <w:rsid w:val="0057386A"/>
    <w:rsid w:val="00574767"/>
    <w:rsid w:val="005754B2"/>
    <w:rsid w:val="005754EC"/>
    <w:rsid w:val="0057653C"/>
    <w:rsid w:val="00576B3B"/>
    <w:rsid w:val="0057758F"/>
    <w:rsid w:val="00577E2C"/>
    <w:rsid w:val="00580B25"/>
    <w:rsid w:val="00580B6C"/>
    <w:rsid w:val="00580C12"/>
    <w:rsid w:val="00580C37"/>
    <w:rsid w:val="00580E64"/>
    <w:rsid w:val="0058195D"/>
    <w:rsid w:val="00582599"/>
    <w:rsid w:val="00582BEF"/>
    <w:rsid w:val="00582C4A"/>
    <w:rsid w:val="00582CAD"/>
    <w:rsid w:val="00583CA9"/>
    <w:rsid w:val="00584922"/>
    <w:rsid w:val="00585022"/>
    <w:rsid w:val="005850C7"/>
    <w:rsid w:val="00585181"/>
    <w:rsid w:val="005854AA"/>
    <w:rsid w:val="00586085"/>
    <w:rsid w:val="005868DD"/>
    <w:rsid w:val="00586A1F"/>
    <w:rsid w:val="00586B5C"/>
    <w:rsid w:val="00586C33"/>
    <w:rsid w:val="005879DB"/>
    <w:rsid w:val="00587F89"/>
    <w:rsid w:val="00590632"/>
    <w:rsid w:val="005912FA"/>
    <w:rsid w:val="00591C7D"/>
    <w:rsid w:val="005922A7"/>
    <w:rsid w:val="005929D3"/>
    <w:rsid w:val="0059492C"/>
    <w:rsid w:val="00594ED4"/>
    <w:rsid w:val="0059593E"/>
    <w:rsid w:val="00596B96"/>
    <w:rsid w:val="005A0834"/>
    <w:rsid w:val="005A0BCD"/>
    <w:rsid w:val="005A0FB7"/>
    <w:rsid w:val="005A10A2"/>
    <w:rsid w:val="005A10C4"/>
    <w:rsid w:val="005A1299"/>
    <w:rsid w:val="005A1351"/>
    <w:rsid w:val="005A3E42"/>
    <w:rsid w:val="005A4315"/>
    <w:rsid w:val="005A44C0"/>
    <w:rsid w:val="005A4787"/>
    <w:rsid w:val="005A4E07"/>
    <w:rsid w:val="005A531B"/>
    <w:rsid w:val="005A57B5"/>
    <w:rsid w:val="005A58F8"/>
    <w:rsid w:val="005A6E41"/>
    <w:rsid w:val="005B0400"/>
    <w:rsid w:val="005B09A6"/>
    <w:rsid w:val="005B0C6C"/>
    <w:rsid w:val="005B12FD"/>
    <w:rsid w:val="005B1ED8"/>
    <w:rsid w:val="005B2EA4"/>
    <w:rsid w:val="005B3C1D"/>
    <w:rsid w:val="005B3C3C"/>
    <w:rsid w:val="005B40A6"/>
    <w:rsid w:val="005B465C"/>
    <w:rsid w:val="005B4AA1"/>
    <w:rsid w:val="005B5605"/>
    <w:rsid w:val="005B6287"/>
    <w:rsid w:val="005B6492"/>
    <w:rsid w:val="005B67DD"/>
    <w:rsid w:val="005B6B5B"/>
    <w:rsid w:val="005B6C03"/>
    <w:rsid w:val="005B777C"/>
    <w:rsid w:val="005B7AE6"/>
    <w:rsid w:val="005B7BAB"/>
    <w:rsid w:val="005B7F74"/>
    <w:rsid w:val="005C013D"/>
    <w:rsid w:val="005C018A"/>
    <w:rsid w:val="005C026F"/>
    <w:rsid w:val="005C07B3"/>
    <w:rsid w:val="005C11B4"/>
    <w:rsid w:val="005C1320"/>
    <w:rsid w:val="005C149D"/>
    <w:rsid w:val="005C15E6"/>
    <w:rsid w:val="005C1D57"/>
    <w:rsid w:val="005C2150"/>
    <w:rsid w:val="005C23E2"/>
    <w:rsid w:val="005C2859"/>
    <w:rsid w:val="005C2BAE"/>
    <w:rsid w:val="005C2E4C"/>
    <w:rsid w:val="005C3060"/>
    <w:rsid w:val="005C317C"/>
    <w:rsid w:val="005C332D"/>
    <w:rsid w:val="005C35A4"/>
    <w:rsid w:val="005C3667"/>
    <w:rsid w:val="005C4973"/>
    <w:rsid w:val="005C4A17"/>
    <w:rsid w:val="005C6441"/>
    <w:rsid w:val="005C7567"/>
    <w:rsid w:val="005C7CE4"/>
    <w:rsid w:val="005D03C9"/>
    <w:rsid w:val="005D0455"/>
    <w:rsid w:val="005D0566"/>
    <w:rsid w:val="005D087B"/>
    <w:rsid w:val="005D08F3"/>
    <w:rsid w:val="005D0936"/>
    <w:rsid w:val="005D0943"/>
    <w:rsid w:val="005D127B"/>
    <w:rsid w:val="005D150B"/>
    <w:rsid w:val="005D1988"/>
    <w:rsid w:val="005D222E"/>
    <w:rsid w:val="005D23E4"/>
    <w:rsid w:val="005D38EA"/>
    <w:rsid w:val="005D3EF3"/>
    <w:rsid w:val="005D40E3"/>
    <w:rsid w:val="005D45BB"/>
    <w:rsid w:val="005D53C0"/>
    <w:rsid w:val="005D5B07"/>
    <w:rsid w:val="005D65AF"/>
    <w:rsid w:val="005D6CE4"/>
    <w:rsid w:val="005D73CF"/>
    <w:rsid w:val="005D7B7D"/>
    <w:rsid w:val="005D7D56"/>
    <w:rsid w:val="005E0562"/>
    <w:rsid w:val="005E1A60"/>
    <w:rsid w:val="005E2A9F"/>
    <w:rsid w:val="005E2E1A"/>
    <w:rsid w:val="005E3C3C"/>
    <w:rsid w:val="005E425B"/>
    <w:rsid w:val="005E5D79"/>
    <w:rsid w:val="005E6AA1"/>
    <w:rsid w:val="005E6F8F"/>
    <w:rsid w:val="005E7330"/>
    <w:rsid w:val="005F07BE"/>
    <w:rsid w:val="005F10C1"/>
    <w:rsid w:val="005F115D"/>
    <w:rsid w:val="005F21F2"/>
    <w:rsid w:val="005F24C2"/>
    <w:rsid w:val="005F38FF"/>
    <w:rsid w:val="005F4A75"/>
    <w:rsid w:val="005F57D3"/>
    <w:rsid w:val="005F5992"/>
    <w:rsid w:val="005F6027"/>
    <w:rsid w:val="005F649F"/>
    <w:rsid w:val="005F6D8B"/>
    <w:rsid w:val="005F7222"/>
    <w:rsid w:val="005F78EB"/>
    <w:rsid w:val="005F7BDB"/>
    <w:rsid w:val="005F7C84"/>
    <w:rsid w:val="00600356"/>
    <w:rsid w:val="00600835"/>
    <w:rsid w:val="00600E50"/>
    <w:rsid w:val="00600F56"/>
    <w:rsid w:val="00601541"/>
    <w:rsid w:val="0060169E"/>
    <w:rsid w:val="006027AA"/>
    <w:rsid w:val="00602E04"/>
    <w:rsid w:val="00604D7B"/>
    <w:rsid w:val="00604EEE"/>
    <w:rsid w:val="00605299"/>
    <w:rsid w:val="0060564B"/>
    <w:rsid w:val="00605F18"/>
    <w:rsid w:val="006076AB"/>
    <w:rsid w:val="00610623"/>
    <w:rsid w:val="006114B9"/>
    <w:rsid w:val="006123D2"/>
    <w:rsid w:val="00612660"/>
    <w:rsid w:val="00612782"/>
    <w:rsid w:val="00612A8B"/>
    <w:rsid w:val="00612CE1"/>
    <w:rsid w:val="00612DEB"/>
    <w:rsid w:val="00613027"/>
    <w:rsid w:val="006132E2"/>
    <w:rsid w:val="00613401"/>
    <w:rsid w:val="0061387D"/>
    <w:rsid w:val="00613F50"/>
    <w:rsid w:val="00614246"/>
    <w:rsid w:val="00614B6C"/>
    <w:rsid w:val="006157C7"/>
    <w:rsid w:val="00615980"/>
    <w:rsid w:val="006173D5"/>
    <w:rsid w:val="006179C9"/>
    <w:rsid w:val="00617B84"/>
    <w:rsid w:val="00617D8D"/>
    <w:rsid w:val="00620CBB"/>
    <w:rsid w:val="00622612"/>
    <w:rsid w:val="00622F4D"/>
    <w:rsid w:val="00623308"/>
    <w:rsid w:val="00623CED"/>
    <w:rsid w:val="00623EED"/>
    <w:rsid w:val="00624208"/>
    <w:rsid w:val="00624661"/>
    <w:rsid w:val="00624DA1"/>
    <w:rsid w:val="00624EF2"/>
    <w:rsid w:val="00625AEC"/>
    <w:rsid w:val="00625EDA"/>
    <w:rsid w:val="0062653B"/>
    <w:rsid w:val="00626606"/>
    <w:rsid w:val="006271E0"/>
    <w:rsid w:val="0062732D"/>
    <w:rsid w:val="00627719"/>
    <w:rsid w:val="00627819"/>
    <w:rsid w:val="00630195"/>
    <w:rsid w:val="00630224"/>
    <w:rsid w:val="00630324"/>
    <w:rsid w:val="00630631"/>
    <w:rsid w:val="00630CF6"/>
    <w:rsid w:val="00631343"/>
    <w:rsid w:val="00632009"/>
    <w:rsid w:val="00632018"/>
    <w:rsid w:val="006325FC"/>
    <w:rsid w:val="00632839"/>
    <w:rsid w:val="006330E1"/>
    <w:rsid w:val="00633813"/>
    <w:rsid w:val="00633C2C"/>
    <w:rsid w:val="00633EDB"/>
    <w:rsid w:val="00633FA5"/>
    <w:rsid w:val="0063401A"/>
    <w:rsid w:val="00635F24"/>
    <w:rsid w:val="00636467"/>
    <w:rsid w:val="006369BA"/>
    <w:rsid w:val="00636AD3"/>
    <w:rsid w:val="006371C5"/>
    <w:rsid w:val="00637973"/>
    <w:rsid w:val="0064003A"/>
    <w:rsid w:val="00640220"/>
    <w:rsid w:val="0064078B"/>
    <w:rsid w:val="006407D6"/>
    <w:rsid w:val="0064163D"/>
    <w:rsid w:val="00641904"/>
    <w:rsid w:val="00641F31"/>
    <w:rsid w:val="0064262F"/>
    <w:rsid w:val="00642783"/>
    <w:rsid w:val="00642DAC"/>
    <w:rsid w:val="00642EFE"/>
    <w:rsid w:val="006430B2"/>
    <w:rsid w:val="0064323B"/>
    <w:rsid w:val="00643312"/>
    <w:rsid w:val="006442A3"/>
    <w:rsid w:val="00644977"/>
    <w:rsid w:val="00645479"/>
    <w:rsid w:val="00645612"/>
    <w:rsid w:val="006462C4"/>
    <w:rsid w:val="00646411"/>
    <w:rsid w:val="00646477"/>
    <w:rsid w:val="00646EDC"/>
    <w:rsid w:val="00646F67"/>
    <w:rsid w:val="006470F9"/>
    <w:rsid w:val="0064715A"/>
    <w:rsid w:val="00647911"/>
    <w:rsid w:val="006501B0"/>
    <w:rsid w:val="0065026C"/>
    <w:rsid w:val="0065040C"/>
    <w:rsid w:val="00650597"/>
    <w:rsid w:val="00650D5B"/>
    <w:rsid w:val="00650DAA"/>
    <w:rsid w:val="00651563"/>
    <w:rsid w:val="00652115"/>
    <w:rsid w:val="00652183"/>
    <w:rsid w:val="0065287A"/>
    <w:rsid w:val="00653942"/>
    <w:rsid w:val="00653E2A"/>
    <w:rsid w:val="00654529"/>
    <w:rsid w:val="00654FAD"/>
    <w:rsid w:val="00655299"/>
    <w:rsid w:val="006554D8"/>
    <w:rsid w:val="00655DAE"/>
    <w:rsid w:val="0065667D"/>
    <w:rsid w:val="00656A8E"/>
    <w:rsid w:val="0065745D"/>
    <w:rsid w:val="00657925"/>
    <w:rsid w:val="00657DB1"/>
    <w:rsid w:val="006606CF"/>
    <w:rsid w:val="0066099B"/>
    <w:rsid w:val="00660CA5"/>
    <w:rsid w:val="006611B8"/>
    <w:rsid w:val="006612D1"/>
    <w:rsid w:val="006616B3"/>
    <w:rsid w:val="00661895"/>
    <w:rsid w:val="00664DC0"/>
    <w:rsid w:val="00665FA3"/>
    <w:rsid w:val="00666050"/>
    <w:rsid w:val="006666E4"/>
    <w:rsid w:val="00666B83"/>
    <w:rsid w:val="00666D41"/>
    <w:rsid w:val="0066710F"/>
    <w:rsid w:val="006671C9"/>
    <w:rsid w:val="00667CC7"/>
    <w:rsid w:val="00670769"/>
    <w:rsid w:val="0067117F"/>
    <w:rsid w:val="00671C40"/>
    <w:rsid w:val="006726AD"/>
    <w:rsid w:val="00672A8B"/>
    <w:rsid w:val="006735F9"/>
    <w:rsid w:val="0067384D"/>
    <w:rsid w:val="00673D17"/>
    <w:rsid w:val="00673DC5"/>
    <w:rsid w:val="00674177"/>
    <w:rsid w:val="006746AD"/>
    <w:rsid w:val="0067532D"/>
    <w:rsid w:val="00675AE6"/>
    <w:rsid w:val="00675DBD"/>
    <w:rsid w:val="00676474"/>
    <w:rsid w:val="00676814"/>
    <w:rsid w:val="00676BA9"/>
    <w:rsid w:val="0067704E"/>
    <w:rsid w:val="00677478"/>
    <w:rsid w:val="00677A50"/>
    <w:rsid w:val="00677B1D"/>
    <w:rsid w:val="00677B73"/>
    <w:rsid w:val="00677DAF"/>
    <w:rsid w:val="00677EF5"/>
    <w:rsid w:val="00680697"/>
    <w:rsid w:val="00680EEB"/>
    <w:rsid w:val="006811CF"/>
    <w:rsid w:val="00681B76"/>
    <w:rsid w:val="0068208D"/>
    <w:rsid w:val="006821AF"/>
    <w:rsid w:val="00682329"/>
    <w:rsid w:val="0068256B"/>
    <w:rsid w:val="0068270C"/>
    <w:rsid w:val="00682C29"/>
    <w:rsid w:val="00682D40"/>
    <w:rsid w:val="00683EBA"/>
    <w:rsid w:val="00685844"/>
    <w:rsid w:val="00685903"/>
    <w:rsid w:val="00685A19"/>
    <w:rsid w:val="00687238"/>
    <w:rsid w:val="006875CA"/>
    <w:rsid w:val="00690451"/>
    <w:rsid w:val="0069221A"/>
    <w:rsid w:val="006923BA"/>
    <w:rsid w:val="00692552"/>
    <w:rsid w:val="006934F0"/>
    <w:rsid w:val="00693E5C"/>
    <w:rsid w:val="00693E71"/>
    <w:rsid w:val="006946DC"/>
    <w:rsid w:val="006949EA"/>
    <w:rsid w:val="00694EC9"/>
    <w:rsid w:val="00695830"/>
    <w:rsid w:val="0069682D"/>
    <w:rsid w:val="00696C59"/>
    <w:rsid w:val="00697968"/>
    <w:rsid w:val="00697B50"/>
    <w:rsid w:val="00697E17"/>
    <w:rsid w:val="006A0418"/>
    <w:rsid w:val="006A05E1"/>
    <w:rsid w:val="006A0819"/>
    <w:rsid w:val="006A0C0B"/>
    <w:rsid w:val="006A2982"/>
    <w:rsid w:val="006A2B64"/>
    <w:rsid w:val="006A317B"/>
    <w:rsid w:val="006A4620"/>
    <w:rsid w:val="006A4A1E"/>
    <w:rsid w:val="006A540B"/>
    <w:rsid w:val="006A57E4"/>
    <w:rsid w:val="006A5B75"/>
    <w:rsid w:val="006A5F4E"/>
    <w:rsid w:val="006A66F1"/>
    <w:rsid w:val="006A6E6A"/>
    <w:rsid w:val="006A6F5A"/>
    <w:rsid w:val="006A78A0"/>
    <w:rsid w:val="006A7B11"/>
    <w:rsid w:val="006A7E1D"/>
    <w:rsid w:val="006B0763"/>
    <w:rsid w:val="006B09F7"/>
    <w:rsid w:val="006B1133"/>
    <w:rsid w:val="006B1B83"/>
    <w:rsid w:val="006B32AA"/>
    <w:rsid w:val="006B344F"/>
    <w:rsid w:val="006B3728"/>
    <w:rsid w:val="006B3A71"/>
    <w:rsid w:val="006B3FF5"/>
    <w:rsid w:val="006B4675"/>
    <w:rsid w:val="006B48D8"/>
    <w:rsid w:val="006B5B60"/>
    <w:rsid w:val="006B6EF7"/>
    <w:rsid w:val="006B755A"/>
    <w:rsid w:val="006B757A"/>
    <w:rsid w:val="006C014C"/>
    <w:rsid w:val="006C1681"/>
    <w:rsid w:val="006C1A37"/>
    <w:rsid w:val="006C252A"/>
    <w:rsid w:val="006C2717"/>
    <w:rsid w:val="006C2CE7"/>
    <w:rsid w:val="006C3083"/>
    <w:rsid w:val="006C446B"/>
    <w:rsid w:val="006C47FF"/>
    <w:rsid w:val="006C4B39"/>
    <w:rsid w:val="006C4F2A"/>
    <w:rsid w:val="006C5F06"/>
    <w:rsid w:val="006C6A3E"/>
    <w:rsid w:val="006C6CC8"/>
    <w:rsid w:val="006C6F73"/>
    <w:rsid w:val="006C7F5B"/>
    <w:rsid w:val="006D072F"/>
    <w:rsid w:val="006D0C0A"/>
    <w:rsid w:val="006D1866"/>
    <w:rsid w:val="006D1BB3"/>
    <w:rsid w:val="006D34FD"/>
    <w:rsid w:val="006D43AE"/>
    <w:rsid w:val="006D4828"/>
    <w:rsid w:val="006D562E"/>
    <w:rsid w:val="006D65C6"/>
    <w:rsid w:val="006D69BE"/>
    <w:rsid w:val="006D7A77"/>
    <w:rsid w:val="006E0CDD"/>
    <w:rsid w:val="006E0D2B"/>
    <w:rsid w:val="006E1A93"/>
    <w:rsid w:val="006E1DE2"/>
    <w:rsid w:val="006E21D6"/>
    <w:rsid w:val="006E2378"/>
    <w:rsid w:val="006E2F01"/>
    <w:rsid w:val="006E372B"/>
    <w:rsid w:val="006E45D6"/>
    <w:rsid w:val="006E4F29"/>
    <w:rsid w:val="006E4FC9"/>
    <w:rsid w:val="006E5056"/>
    <w:rsid w:val="006E5435"/>
    <w:rsid w:val="006E6342"/>
    <w:rsid w:val="006E64DE"/>
    <w:rsid w:val="006E7F58"/>
    <w:rsid w:val="006F0B4D"/>
    <w:rsid w:val="006F23FD"/>
    <w:rsid w:val="006F24F4"/>
    <w:rsid w:val="006F2650"/>
    <w:rsid w:val="006F277E"/>
    <w:rsid w:val="006F3978"/>
    <w:rsid w:val="006F4B67"/>
    <w:rsid w:val="006F5902"/>
    <w:rsid w:val="006F683C"/>
    <w:rsid w:val="006F6B31"/>
    <w:rsid w:val="006F7081"/>
    <w:rsid w:val="00700001"/>
    <w:rsid w:val="00700702"/>
    <w:rsid w:val="00700E3C"/>
    <w:rsid w:val="00701476"/>
    <w:rsid w:val="007018B4"/>
    <w:rsid w:val="00701B30"/>
    <w:rsid w:val="00702350"/>
    <w:rsid w:val="00702593"/>
    <w:rsid w:val="00704103"/>
    <w:rsid w:val="0070417E"/>
    <w:rsid w:val="0070480F"/>
    <w:rsid w:val="0070489F"/>
    <w:rsid w:val="00705383"/>
    <w:rsid w:val="0070569E"/>
    <w:rsid w:val="00705B6D"/>
    <w:rsid w:val="00705D0F"/>
    <w:rsid w:val="00706380"/>
    <w:rsid w:val="00706B14"/>
    <w:rsid w:val="00707446"/>
    <w:rsid w:val="0070766F"/>
    <w:rsid w:val="00710009"/>
    <w:rsid w:val="00710658"/>
    <w:rsid w:val="007113C2"/>
    <w:rsid w:val="00712473"/>
    <w:rsid w:val="007124D9"/>
    <w:rsid w:val="007128AE"/>
    <w:rsid w:val="00712A25"/>
    <w:rsid w:val="00714CD2"/>
    <w:rsid w:val="00714EE2"/>
    <w:rsid w:val="00715141"/>
    <w:rsid w:val="00715F96"/>
    <w:rsid w:val="00716088"/>
    <w:rsid w:val="0071620C"/>
    <w:rsid w:val="00716DFD"/>
    <w:rsid w:val="0072013C"/>
    <w:rsid w:val="00721147"/>
    <w:rsid w:val="0072123F"/>
    <w:rsid w:val="007217AA"/>
    <w:rsid w:val="00721F1A"/>
    <w:rsid w:val="007220D3"/>
    <w:rsid w:val="007225FD"/>
    <w:rsid w:val="007229EA"/>
    <w:rsid w:val="00722B28"/>
    <w:rsid w:val="00722DBB"/>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1272"/>
    <w:rsid w:val="00731ED3"/>
    <w:rsid w:val="0073232D"/>
    <w:rsid w:val="00732762"/>
    <w:rsid w:val="00732BF0"/>
    <w:rsid w:val="00732D25"/>
    <w:rsid w:val="00733B04"/>
    <w:rsid w:val="00733CCC"/>
    <w:rsid w:val="00734926"/>
    <w:rsid w:val="00734B1E"/>
    <w:rsid w:val="00736C90"/>
    <w:rsid w:val="007375E5"/>
    <w:rsid w:val="00737D03"/>
    <w:rsid w:val="0074033A"/>
    <w:rsid w:val="00740538"/>
    <w:rsid w:val="00740651"/>
    <w:rsid w:val="007406D0"/>
    <w:rsid w:val="00740B03"/>
    <w:rsid w:val="00740FAF"/>
    <w:rsid w:val="00742814"/>
    <w:rsid w:val="007429F5"/>
    <w:rsid w:val="00742AE1"/>
    <w:rsid w:val="00742BFB"/>
    <w:rsid w:val="00743456"/>
    <w:rsid w:val="007440C3"/>
    <w:rsid w:val="00744286"/>
    <w:rsid w:val="007445B3"/>
    <w:rsid w:val="007448FC"/>
    <w:rsid w:val="00744C43"/>
    <w:rsid w:val="00744FAD"/>
    <w:rsid w:val="007457FB"/>
    <w:rsid w:val="00745AE5"/>
    <w:rsid w:val="00746CB4"/>
    <w:rsid w:val="007476A9"/>
    <w:rsid w:val="00747B66"/>
    <w:rsid w:val="007506EC"/>
    <w:rsid w:val="007509DC"/>
    <w:rsid w:val="007509F4"/>
    <w:rsid w:val="00750AE1"/>
    <w:rsid w:val="00751606"/>
    <w:rsid w:val="00751847"/>
    <w:rsid w:val="00751F4D"/>
    <w:rsid w:val="00753121"/>
    <w:rsid w:val="007534CC"/>
    <w:rsid w:val="007534DB"/>
    <w:rsid w:val="00753814"/>
    <w:rsid w:val="00753F2A"/>
    <w:rsid w:val="0075445D"/>
    <w:rsid w:val="00754605"/>
    <w:rsid w:val="00754F09"/>
    <w:rsid w:val="007554F9"/>
    <w:rsid w:val="007556B8"/>
    <w:rsid w:val="00755DE1"/>
    <w:rsid w:val="00756813"/>
    <w:rsid w:val="00757D46"/>
    <w:rsid w:val="00760999"/>
    <w:rsid w:val="007613B5"/>
    <w:rsid w:val="00761BEE"/>
    <w:rsid w:val="007621E1"/>
    <w:rsid w:val="0076256F"/>
    <w:rsid w:val="007631C4"/>
    <w:rsid w:val="00763E87"/>
    <w:rsid w:val="00764530"/>
    <w:rsid w:val="00765247"/>
    <w:rsid w:val="00765341"/>
    <w:rsid w:val="0076538C"/>
    <w:rsid w:val="00765E65"/>
    <w:rsid w:val="007668FD"/>
    <w:rsid w:val="007671E3"/>
    <w:rsid w:val="00767CC1"/>
    <w:rsid w:val="007701A2"/>
    <w:rsid w:val="007703B8"/>
    <w:rsid w:val="00770673"/>
    <w:rsid w:val="00771418"/>
    <w:rsid w:val="00772D50"/>
    <w:rsid w:val="00773591"/>
    <w:rsid w:val="007742B8"/>
    <w:rsid w:val="007745B1"/>
    <w:rsid w:val="00774660"/>
    <w:rsid w:val="00775BD6"/>
    <w:rsid w:val="00776EBB"/>
    <w:rsid w:val="007778C3"/>
    <w:rsid w:val="00777E88"/>
    <w:rsid w:val="007807EB"/>
    <w:rsid w:val="007808FB"/>
    <w:rsid w:val="00780AD2"/>
    <w:rsid w:val="00781C53"/>
    <w:rsid w:val="00782293"/>
    <w:rsid w:val="00783030"/>
    <w:rsid w:val="00783601"/>
    <w:rsid w:val="0078432E"/>
    <w:rsid w:val="007857E9"/>
    <w:rsid w:val="007864E9"/>
    <w:rsid w:val="00786CE1"/>
    <w:rsid w:val="00787242"/>
    <w:rsid w:val="00787681"/>
    <w:rsid w:val="00790482"/>
    <w:rsid w:val="00790BEE"/>
    <w:rsid w:val="00790C70"/>
    <w:rsid w:val="00790EF6"/>
    <w:rsid w:val="00791365"/>
    <w:rsid w:val="00791801"/>
    <w:rsid w:val="0079181A"/>
    <w:rsid w:val="00791CF5"/>
    <w:rsid w:val="00791EC3"/>
    <w:rsid w:val="00791FD3"/>
    <w:rsid w:val="007937ED"/>
    <w:rsid w:val="00793E3A"/>
    <w:rsid w:val="00794222"/>
    <w:rsid w:val="00794666"/>
    <w:rsid w:val="00795316"/>
    <w:rsid w:val="00796037"/>
    <w:rsid w:val="0079691A"/>
    <w:rsid w:val="007A010B"/>
    <w:rsid w:val="007A0954"/>
    <w:rsid w:val="007A0A79"/>
    <w:rsid w:val="007A1113"/>
    <w:rsid w:val="007A1893"/>
    <w:rsid w:val="007A23B1"/>
    <w:rsid w:val="007A2C31"/>
    <w:rsid w:val="007A3E12"/>
    <w:rsid w:val="007A4823"/>
    <w:rsid w:val="007A638E"/>
    <w:rsid w:val="007A660B"/>
    <w:rsid w:val="007A69FD"/>
    <w:rsid w:val="007B15B9"/>
    <w:rsid w:val="007B1D56"/>
    <w:rsid w:val="007B2161"/>
    <w:rsid w:val="007B24EA"/>
    <w:rsid w:val="007B2ACA"/>
    <w:rsid w:val="007B3912"/>
    <w:rsid w:val="007B3D31"/>
    <w:rsid w:val="007B4970"/>
    <w:rsid w:val="007B4ED3"/>
    <w:rsid w:val="007B5F96"/>
    <w:rsid w:val="007B6F16"/>
    <w:rsid w:val="007B70F7"/>
    <w:rsid w:val="007B721C"/>
    <w:rsid w:val="007B768A"/>
    <w:rsid w:val="007B7D9C"/>
    <w:rsid w:val="007C0B89"/>
    <w:rsid w:val="007C1115"/>
    <w:rsid w:val="007C1BF2"/>
    <w:rsid w:val="007C1D29"/>
    <w:rsid w:val="007C2A33"/>
    <w:rsid w:val="007C2AC5"/>
    <w:rsid w:val="007C3491"/>
    <w:rsid w:val="007C367B"/>
    <w:rsid w:val="007C42ED"/>
    <w:rsid w:val="007C55C0"/>
    <w:rsid w:val="007C63EE"/>
    <w:rsid w:val="007C751B"/>
    <w:rsid w:val="007C78DA"/>
    <w:rsid w:val="007D106F"/>
    <w:rsid w:val="007D1E5B"/>
    <w:rsid w:val="007D1EB0"/>
    <w:rsid w:val="007D21A6"/>
    <w:rsid w:val="007D3C12"/>
    <w:rsid w:val="007D4414"/>
    <w:rsid w:val="007D5641"/>
    <w:rsid w:val="007D5CB8"/>
    <w:rsid w:val="007D5D62"/>
    <w:rsid w:val="007D5FCE"/>
    <w:rsid w:val="007D648F"/>
    <w:rsid w:val="007D7772"/>
    <w:rsid w:val="007D7FE1"/>
    <w:rsid w:val="007E0903"/>
    <w:rsid w:val="007E0B0C"/>
    <w:rsid w:val="007E0D04"/>
    <w:rsid w:val="007E0EA8"/>
    <w:rsid w:val="007E0EAC"/>
    <w:rsid w:val="007E23F0"/>
    <w:rsid w:val="007E2E8E"/>
    <w:rsid w:val="007E2FE1"/>
    <w:rsid w:val="007E32C6"/>
    <w:rsid w:val="007E3580"/>
    <w:rsid w:val="007E3BA6"/>
    <w:rsid w:val="007E3F37"/>
    <w:rsid w:val="007E421E"/>
    <w:rsid w:val="007E459B"/>
    <w:rsid w:val="007E4DA2"/>
    <w:rsid w:val="007E4DB8"/>
    <w:rsid w:val="007E51BF"/>
    <w:rsid w:val="007E56A4"/>
    <w:rsid w:val="007E6413"/>
    <w:rsid w:val="007E7107"/>
    <w:rsid w:val="007F0D12"/>
    <w:rsid w:val="007F139D"/>
    <w:rsid w:val="007F146A"/>
    <w:rsid w:val="007F177C"/>
    <w:rsid w:val="007F1DA9"/>
    <w:rsid w:val="007F2925"/>
    <w:rsid w:val="007F3168"/>
    <w:rsid w:val="007F4032"/>
    <w:rsid w:val="007F479A"/>
    <w:rsid w:val="007F50BA"/>
    <w:rsid w:val="007F5176"/>
    <w:rsid w:val="007F5CB9"/>
    <w:rsid w:val="007F7518"/>
    <w:rsid w:val="00800815"/>
    <w:rsid w:val="0080088E"/>
    <w:rsid w:val="00800A9D"/>
    <w:rsid w:val="00801107"/>
    <w:rsid w:val="00801A86"/>
    <w:rsid w:val="0080229D"/>
    <w:rsid w:val="008035FD"/>
    <w:rsid w:val="00805521"/>
    <w:rsid w:val="008063D5"/>
    <w:rsid w:val="00806A17"/>
    <w:rsid w:val="0080735C"/>
    <w:rsid w:val="00810900"/>
    <w:rsid w:val="008120B7"/>
    <w:rsid w:val="00812D61"/>
    <w:rsid w:val="00812E1A"/>
    <w:rsid w:val="00813038"/>
    <w:rsid w:val="0081329B"/>
    <w:rsid w:val="0081379A"/>
    <w:rsid w:val="00813C26"/>
    <w:rsid w:val="00814740"/>
    <w:rsid w:val="008155C1"/>
    <w:rsid w:val="0081573C"/>
    <w:rsid w:val="0081597D"/>
    <w:rsid w:val="00815F9E"/>
    <w:rsid w:val="00816127"/>
    <w:rsid w:val="00816355"/>
    <w:rsid w:val="00816439"/>
    <w:rsid w:val="0081646C"/>
    <w:rsid w:val="00821978"/>
    <w:rsid w:val="00821D4C"/>
    <w:rsid w:val="00822198"/>
    <w:rsid w:val="00822232"/>
    <w:rsid w:val="00824594"/>
    <w:rsid w:val="00824887"/>
    <w:rsid w:val="008258F7"/>
    <w:rsid w:val="00825CC9"/>
    <w:rsid w:val="00827CE0"/>
    <w:rsid w:val="00827CFB"/>
    <w:rsid w:val="00832321"/>
    <w:rsid w:val="008323D0"/>
    <w:rsid w:val="0083258E"/>
    <w:rsid w:val="0083263E"/>
    <w:rsid w:val="00832B61"/>
    <w:rsid w:val="008334B8"/>
    <w:rsid w:val="00834079"/>
    <w:rsid w:val="008342A7"/>
    <w:rsid w:val="00834634"/>
    <w:rsid w:val="00834825"/>
    <w:rsid w:val="008351E6"/>
    <w:rsid w:val="008352E6"/>
    <w:rsid w:val="008355AD"/>
    <w:rsid w:val="008358ED"/>
    <w:rsid w:val="00835DD6"/>
    <w:rsid w:val="00835E7A"/>
    <w:rsid w:val="00835ECA"/>
    <w:rsid w:val="008364A3"/>
    <w:rsid w:val="0083675F"/>
    <w:rsid w:val="0083693D"/>
    <w:rsid w:val="008369E4"/>
    <w:rsid w:val="00837A2F"/>
    <w:rsid w:val="00837DB8"/>
    <w:rsid w:val="00837E5B"/>
    <w:rsid w:val="00840073"/>
    <w:rsid w:val="00841FF5"/>
    <w:rsid w:val="00842237"/>
    <w:rsid w:val="00842B85"/>
    <w:rsid w:val="00842DEC"/>
    <w:rsid w:val="00844143"/>
    <w:rsid w:val="0084440C"/>
    <w:rsid w:val="00844636"/>
    <w:rsid w:val="00844DE3"/>
    <w:rsid w:val="00844E40"/>
    <w:rsid w:val="00845723"/>
    <w:rsid w:val="0084609B"/>
    <w:rsid w:val="00846E7B"/>
    <w:rsid w:val="00847029"/>
    <w:rsid w:val="00847436"/>
    <w:rsid w:val="00850233"/>
    <w:rsid w:val="00851801"/>
    <w:rsid w:val="00853A13"/>
    <w:rsid w:val="00854CF7"/>
    <w:rsid w:val="00854E80"/>
    <w:rsid w:val="00855A88"/>
    <w:rsid w:val="00855CBB"/>
    <w:rsid w:val="00856591"/>
    <w:rsid w:val="0085660E"/>
    <w:rsid w:val="00856975"/>
    <w:rsid w:val="00860413"/>
    <w:rsid w:val="00860613"/>
    <w:rsid w:val="00860782"/>
    <w:rsid w:val="00860FFF"/>
    <w:rsid w:val="008617CC"/>
    <w:rsid w:val="00861874"/>
    <w:rsid w:val="00863359"/>
    <w:rsid w:val="00863514"/>
    <w:rsid w:val="00864D10"/>
    <w:rsid w:val="008666CE"/>
    <w:rsid w:val="008668A6"/>
    <w:rsid w:val="00866D90"/>
    <w:rsid w:val="00866E29"/>
    <w:rsid w:val="00866F4F"/>
    <w:rsid w:val="00866FE7"/>
    <w:rsid w:val="00870558"/>
    <w:rsid w:val="008707A0"/>
    <w:rsid w:val="00870B0D"/>
    <w:rsid w:val="008712EB"/>
    <w:rsid w:val="0087138F"/>
    <w:rsid w:val="00871478"/>
    <w:rsid w:val="0087221E"/>
    <w:rsid w:val="008722BB"/>
    <w:rsid w:val="00872583"/>
    <w:rsid w:val="008728AC"/>
    <w:rsid w:val="00872E1C"/>
    <w:rsid w:val="00872EA0"/>
    <w:rsid w:val="008743E5"/>
    <w:rsid w:val="008748D7"/>
    <w:rsid w:val="00874B8E"/>
    <w:rsid w:val="00876392"/>
    <w:rsid w:val="008763D2"/>
    <w:rsid w:val="008779C5"/>
    <w:rsid w:val="00877B30"/>
    <w:rsid w:val="008800DC"/>
    <w:rsid w:val="008813EB"/>
    <w:rsid w:val="0088178D"/>
    <w:rsid w:val="00881BC7"/>
    <w:rsid w:val="0088206D"/>
    <w:rsid w:val="0088230D"/>
    <w:rsid w:val="00882DD1"/>
    <w:rsid w:val="00882E25"/>
    <w:rsid w:val="0088346C"/>
    <w:rsid w:val="00883FDA"/>
    <w:rsid w:val="008842C0"/>
    <w:rsid w:val="00884369"/>
    <w:rsid w:val="0088480A"/>
    <w:rsid w:val="008851EB"/>
    <w:rsid w:val="00885356"/>
    <w:rsid w:val="00885F8C"/>
    <w:rsid w:val="00887065"/>
    <w:rsid w:val="0089039A"/>
    <w:rsid w:val="00890B2F"/>
    <w:rsid w:val="00890B81"/>
    <w:rsid w:val="00890CD3"/>
    <w:rsid w:val="00891008"/>
    <w:rsid w:val="008910CF"/>
    <w:rsid w:val="008924EB"/>
    <w:rsid w:val="00892F18"/>
    <w:rsid w:val="008931FA"/>
    <w:rsid w:val="00893212"/>
    <w:rsid w:val="00893CD8"/>
    <w:rsid w:val="00894B3A"/>
    <w:rsid w:val="008956FE"/>
    <w:rsid w:val="00895C6A"/>
    <w:rsid w:val="008965F1"/>
    <w:rsid w:val="00896A26"/>
    <w:rsid w:val="008972FA"/>
    <w:rsid w:val="008974D8"/>
    <w:rsid w:val="008978D0"/>
    <w:rsid w:val="008A037B"/>
    <w:rsid w:val="008A04E9"/>
    <w:rsid w:val="008A0692"/>
    <w:rsid w:val="008A114C"/>
    <w:rsid w:val="008A12AA"/>
    <w:rsid w:val="008A15AC"/>
    <w:rsid w:val="008A15FC"/>
    <w:rsid w:val="008A1DA6"/>
    <w:rsid w:val="008A26C0"/>
    <w:rsid w:val="008A2F8D"/>
    <w:rsid w:val="008A3635"/>
    <w:rsid w:val="008A4BFA"/>
    <w:rsid w:val="008A6324"/>
    <w:rsid w:val="008A6823"/>
    <w:rsid w:val="008A70F0"/>
    <w:rsid w:val="008A7CFB"/>
    <w:rsid w:val="008B034E"/>
    <w:rsid w:val="008B15F6"/>
    <w:rsid w:val="008B1CB0"/>
    <w:rsid w:val="008B2201"/>
    <w:rsid w:val="008B2411"/>
    <w:rsid w:val="008B2D64"/>
    <w:rsid w:val="008B30FD"/>
    <w:rsid w:val="008B34F7"/>
    <w:rsid w:val="008B3B02"/>
    <w:rsid w:val="008B3D91"/>
    <w:rsid w:val="008B421B"/>
    <w:rsid w:val="008B45A8"/>
    <w:rsid w:val="008B4CB2"/>
    <w:rsid w:val="008B4F7F"/>
    <w:rsid w:val="008B551D"/>
    <w:rsid w:val="008B5E96"/>
    <w:rsid w:val="008B60B4"/>
    <w:rsid w:val="008B67E7"/>
    <w:rsid w:val="008B67EE"/>
    <w:rsid w:val="008B6F5F"/>
    <w:rsid w:val="008B7998"/>
    <w:rsid w:val="008B7EF7"/>
    <w:rsid w:val="008C08F8"/>
    <w:rsid w:val="008C0A8B"/>
    <w:rsid w:val="008C1125"/>
    <w:rsid w:val="008C1D41"/>
    <w:rsid w:val="008C1F67"/>
    <w:rsid w:val="008C2324"/>
    <w:rsid w:val="008C2956"/>
    <w:rsid w:val="008C2E48"/>
    <w:rsid w:val="008C2E92"/>
    <w:rsid w:val="008C3735"/>
    <w:rsid w:val="008C429A"/>
    <w:rsid w:val="008C46EA"/>
    <w:rsid w:val="008C492D"/>
    <w:rsid w:val="008C4A70"/>
    <w:rsid w:val="008C51A1"/>
    <w:rsid w:val="008C54AE"/>
    <w:rsid w:val="008C5504"/>
    <w:rsid w:val="008C6BA5"/>
    <w:rsid w:val="008C6E6B"/>
    <w:rsid w:val="008C73C5"/>
    <w:rsid w:val="008C740B"/>
    <w:rsid w:val="008C74D6"/>
    <w:rsid w:val="008C7AD7"/>
    <w:rsid w:val="008C7E36"/>
    <w:rsid w:val="008D041D"/>
    <w:rsid w:val="008D09C0"/>
    <w:rsid w:val="008D1093"/>
    <w:rsid w:val="008D17B2"/>
    <w:rsid w:val="008D1A09"/>
    <w:rsid w:val="008D2097"/>
    <w:rsid w:val="008D2736"/>
    <w:rsid w:val="008D27FB"/>
    <w:rsid w:val="008D2911"/>
    <w:rsid w:val="008D43E9"/>
    <w:rsid w:val="008D4523"/>
    <w:rsid w:val="008D5527"/>
    <w:rsid w:val="008D5A82"/>
    <w:rsid w:val="008D6EDB"/>
    <w:rsid w:val="008D76D2"/>
    <w:rsid w:val="008D7A0C"/>
    <w:rsid w:val="008E0535"/>
    <w:rsid w:val="008E08A6"/>
    <w:rsid w:val="008E08FD"/>
    <w:rsid w:val="008E0FBE"/>
    <w:rsid w:val="008E23B8"/>
    <w:rsid w:val="008E23F9"/>
    <w:rsid w:val="008E2B3F"/>
    <w:rsid w:val="008E2CB7"/>
    <w:rsid w:val="008E2F67"/>
    <w:rsid w:val="008E305E"/>
    <w:rsid w:val="008E3481"/>
    <w:rsid w:val="008E3A52"/>
    <w:rsid w:val="008E45F8"/>
    <w:rsid w:val="008E54AE"/>
    <w:rsid w:val="008E609A"/>
    <w:rsid w:val="008E6B42"/>
    <w:rsid w:val="008E74FB"/>
    <w:rsid w:val="008F0C69"/>
    <w:rsid w:val="008F0ED0"/>
    <w:rsid w:val="008F1479"/>
    <w:rsid w:val="008F21EA"/>
    <w:rsid w:val="008F2374"/>
    <w:rsid w:val="008F3146"/>
    <w:rsid w:val="008F379B"/>
    <w:rsid w:val="008F3E5F"/>
    <w:rsid w:val="008F3ED4"/>
    <w:rsid w:val="008F4155"/>
    <w:rsid w:val="008F4314"/>
    <w:rsid w:val="008F502D"/>
    <w:rsid w:val="008F54B5"/>
    <w:rsid w:val="008F63EC"/>
    <w:rsid w:val="008F64E1"/>
    <w:rsid w:val="008F672C"/>
    <w:rsid w:val="008F7735"/>
    <w:rsid w:val="0090028F"/>
    <w:rsid w:val="00900870"/>
    <w:rsid w:val="00900BD6"/>
    <w:rsid w:val="0090159C"/>
    <w:rsid w:val="00901CCB"/>
    <w:rsid w:val="0090203B"/>
    <w:rsid w:val="00902DCF"/>
    <w:rsid w:val="00902ECE"/>
    <w:rsid w:val="009030BF"/>
    <w:rsid w:val="009032A9"/>
    <w:rsid w:val="009033A6"/>
    <w:rsid w:val="00903AF9"/>
    <w:rsid w:val="00903E3D"/>
    <w:rsid w:val="00904546"/>
    <w:rsid w:val="009046C2"/>
    <w:rsid w:val="00904CA3"/>
    <w:rsid w:val="00905264"/>
    <w:rsid w:val="00905331"/>
    <w:rsid w:val="00905658"/>
    <w:rsid w:val="00906581"/>
    <w:rsid w:val="009066DF"/>
    <w:rsid w:val="00906A20"/>
    <w:rsid w:val="0090700F"/>
    <w:rsid w:val="0090713F"/>
    <w:rsid w:val="0090741C"/>
    <w:rsid w:val="00907525"/>
    <w:rsid w:val="00907583"/>
    <w:rsid w:val="00910F21"/>
    <w:rsid w:val="0091123E"/>
    <w:rsid w:val="0091198E"/>
    <w:rsid w:val="009119D9"/>
    <w:rsid w:val="00911AAD"/>
    <w:rsid w:val="009127F8"/>
    <w:rsid w:val="009136E1"/>
    <w:rsid w:val="00913CA8"/>
    <w:rsid w:val="0091404A"/>
    <w:rsid w:val="00914322"/>
    <w:rsid w:val="0091456A"/>
    <w:rsid w:val="00914634"/>
    <w:rsid w:val="00914EE0"/>
    <w:rsid w:val="00915111"/>
    <w:rsid w:val="009151A0"/>
    <w:rsid w:val="009163F9"/>
    <w:rsid w:val="00916D06"/>
    <w:rsid w:val="00916EFC"/>
    <w:rsid w:val="00916F2B"/>
    <w:rsid w:val="009177E1"/>
    <w:rsid w:val="00920ACE"/>
    <w:rsid w:val="00920FBC"/>
    <w:rsid w:val="0092238D"/>
    <w:rsid w:val="0092257A"/>
    <w:rsid w:val="00922A5D"/>
    <w:rsid w:val="009238A5"/>
    <w:rsid w:val="00923B9F"/>
    <w:rsid w:val="00924DCF"/>
    <w:rsid w:val="00926FD5"/>
    <w:rsid w:val="009278D7"/>
    <w:rsid w:val="009300BF"/>
    <w:rsid w:val="0093018B"/>
    <w:rsid w:val="00930DBE"/>
    <w:rsid w:val="0093114C"/>
    <w:rsid w:val="009314C2"/>
    <w:rsid w:val="00931DB1"/>
    <w:rsid w:val="0093210B"/>
    <w:rsid w:val="0093287E"/>
    <w:rsid w:val="00932F1D"/>
    <w:rsid w:val="009337DE"/>
    <w:rsid w:val="00934386"/>
    <w:rsid w:val="00934D26"/>
    <w:rsid w:val="00935684"/>
    <w:rsid w:val="0093585C"/>
    <w:rsid w:val="00935F75"/>
    <w:rsid w:val="00937F1E"/>
    <w:rsid w:val="00937F94"/>
    <w:rsid w:val="0094051E"/>
    <w:rsid w:val="00940A1A"/>
    <w:rsid w:val="009413F8"/>
    <w:rsid w:val="009418AE"/>
    <w:rsid w:val="0094230C"/>
    <w:rsid w:val="00942A76"/>
    <w:rsid w:val="009433C2"/>
    <w:rsid w:val="009447DF"/>
    <w:rsid w:val="009449CC"/>
    <w:rsid w:val="009459E9"/>
    <w:rsid w:val="00945AB4"/>
    <w:rsid w:val="00946D33"/>
    <w:rsid w:val="00947224"/>
    <w:rsid w:val="00947D5F"/>
    <w:rsid w:val="00947E02"/>
    <w:rsid w:val="00950485"/>
    <w:rsid w:val="00950687"/>
    <w:rsid w:val="00950C64"/>
    <w:rsid w:val="00952211"/>
    <w:rsid w:val="009522B4"/>
    <w:rsid w:val="009533F7"/>
    <w:rsid w:val="00953674"/>
    <w:rsid w:val="00953F90"/>
    <w:rsid w:val="00954896"/>
    <w:rsid w:val="00954DFE"/>
    <w:rsid w:val="0095543F"/>
    <w:rsid w:val="00955441"/>
    <w:rsid w:val="009554E8"/>
    <w:rsid w:val="0095563F"/>
    <w:rsid w:val="0095576C"/>
    <w:rsid w:val="009558D7"/>
    <w:rsid w:val="0095619A"/>
    <w:rsid w:val="0095646F"/>
    <w:rsid w:val="00956ADA"/>
    <w:rsid w:val="00956DD3"/>
    <w:rsid w:val="0095713C"/>
    <w:rsid w:val="009605E9"/>
    <w:rsid w:val="00960FC7"/>
    <w:rsid w:val="00962BAC"/>
    <w:rsid w:val="00962CA4"/>
    <w:rsid w:val="009634D1"/>
    <w:rsid w:val="00963D4E"/>
    <w:rsid w:val="009644AD"/>
    <w:rsid w:val="0096495D"/>
    <w:rsid w:val="009651C7"/>
    <w:rsid w:val="009656C8"/>
    <w:rsid w:val="009657EB"/>
    <w:rsid w:val="009658E4"/>
    <w:rsid w:val="00966031"/>
    <w:rsid w:val="0096603E"/>
    <w:rsid w:val="00967128"/>
    <w:rsid w:val="009676CB"/>
    <w:rsid w:val="0096787B"/>
    <w:rsid w:val="00967A1F"/>
    <w:rsid w:val="00967C9A"/>
    <w:rsid w:val="00967D07"/>
    <w:rsid w:val="00967ED5"/>
    <w:rsid w:val="00970501"/>
    <w:rsid w:val="0097063D"/>
    <w:rsid w:val="00971851"/>
    <w:rsid w:val="00971A3B"/>
    <w:rsid w:val="00971BBF"/>
    <w:rsid w:val="00972324"/>
    <w:rsid w:val="00972538"/>
    <w:rsid w:val="0097297D"/>
    <w:rsid w:val="00972C14"/>
    <w:rsid w:val="00972D16"/>
    <w:rsid w:val="00972D48"/>
    <w:rsid w:val="00973295"/>
    <w:rsid w:val="00973BBA"/>
    <w:rsid w:val="00974744"/>
    <w:rsid w:val="00974955"/>
    <w:rsid w:val="00974C5F"/>
    <w:rsid w:val="0097515C"/>
    <w:rsid w:val="00975A6E"/>
    <w:rsid w:val="00975C7D"/>
    <w:rsid w:val="0097638B"/>
    <w:rsid w:val="009765E0"/>
    <w:rsid w:val="00976966"/>
    <w:rsid w:val="0098023B"/>
    <w:rsid w:val="009808DB"/>
    <w:rsid w:val="009815EA"/>
    <w:rsid w:val="00982CE1"/>
    <w:rsid w:val="00982E20"/>
    <w:rsid w:val="00982FA1"/>
    <w:rsid w:val="00983C85"/>
    <w:rsid w:val="00983DCD"/>
    <w:rsid w:val="00983FD5"/>
    <w:rsid w:val="00984579"/>
    <w:rsid w:val="00984855"/>
    <w:rsid w:val="0098490B"/>
    <w:rsid w:val="00984EBB"/>
    <w:rsid w:val="00984EE0"/>
    <w:rsid w:val="00985BB9"/>
    <w:rsid w:val="00985DF7"/>
    <w:rsid w:val="00985F22"/>
    <w:rsid w:val="00985F83"/>
    <w:rsid w:val="0098600E"/>
    <w:rsid w:val="0098615F"/>
    <w:rsid w:val="0098680C"/>
    <w:rsid w:val="009875A5"/>
    <w:rsid w:val="0098780F"/>
    <w:rsid w:val="009906EA"/>
    <w:rsid w:val="00991C9B"/>
    <w:rsid w:val="009921C3"/>
    <w:rsid w:val="009926E5"/>
    <w:rsid w:val="0099273B"/>
    <w:rsid w:val="00992AC2"/>
    <w:rsid w:val="009934B1"/>
    <w:rsid w:val="00993627"/>
    <w:rsid w:val="009939C8"/>
    <w:rsid w:val="0099464D"/>
    <w:rsid w:val="00994FA9"/>
    <w:rsid w:val="00995BF5"/>
    <w:rsid w:val="00995CA5"/>
    <w:rsid w:val="0099735D"/>
    <w:rsid w:val="009973E9"/>
    <w:rsid w:val="00997539"/>
    <w:rsid w:val="00997E09"/>
    <w:rsid w:val="009A1185"/>
    <w:rsid w:val="009A234E"/>
    <w:rsid w:val="009A243D"/>
    <w:rsid w:val="009A29C7"/>
    <w:rsid w:val="009A308F"/>
    <w:rsid w:val="009A3CC7"/>
    <w:rsid w:val="009A5860"/>
    <w:rsid w:val="009A589C"/>
    <w:rsid w:val="009A5FF3"/>
    <w:rsid w:val="009A63BA"/>
    <w:rsid w:val="009A677E"/>
    <w:rsid w:val="009A6813"/>
    <w:rsid w:val="009A79F8"/>
    <w:rsid w:val="009A7BDB"/>
    <w:rsid w:val="009B0863"/>
    <w:rsid w:val="009B089B"/>
    <w:rsid w:val="009B0EAE"/>
    <w:rsid w:val="009B14E1"/>
    <w:rsid w:val="009B1F0F"/>
    <w:rsid w:val="009B2B0F"/>
    <w:rsid w:val="009B2B16"/>
    <w:rsid w:val="009B3413"/>
    <w:rsid w:val="009B3B28"/>
    <w:rsid w:val="009B555F"/>
    <w:rsid w:val="009B63C0"/>
    <w:rsid w:val="009B6844"/>
    <w:rsid w:val="009B75C3"/>
    <w:rsid w:val="009C03E2"/>
    <w:rsid w:val="009C05C5"/>
    <w:rsid w:val="009C0AB5"/>
    <w:rsid w:val="009C1FCA"/>
    <w:rsid w:val="009C2BF7"/>
    <w:rsid w:val="009C3344"/>
    <w:rsid w:val="009C44F5"/>
    <w:rsid w:val="009C480C"/>
    <w:rsid w:val="009C4C0B"/>
    <w:rsid w:val="009C5123"/>
    <w:rsid w:val="009C64A3"/>
    <w:rsid w:val="009C66BC"/>
    <w:rsid w:val="009C6CC5"/>
    <w:rsid w:val="009C7C10"/>
    <w:rsid w:val="009D02F3"/>
    <w:rsid w:val="009D05B7"/>
    <w:rsid w:val="009D0C87"/>
    <w:rsid w:val="009D1522"/>
    <w:rsid w:val="009D192F"/>
    <w:rsid w:val="009D2485"/>
    <w:rsid w:val="009D3179"/>
    <w:rsid w:val="009D3396"/>
    <w:rsid w:val="009D33A9"/>
    <w:rsid w:val="009D34ED"/>
    <w:rsid w:val="009D37BD"/>
    <w:rsid w:val="009D42E8"/>
    <w:rsid w:val="009D4451"/>
    <w:rsid w:val="009D5117"/>
    <w:rsid w:val="009D5CAC"/>
    <w:rsid w:val="009D6AE7"/>
    <w:rsid w:val="009D75C7"/>
    <w:rsid w:val="009D7E9F"/>
    <w:rsid w:val="009D7FB2"/>
    <w:rsid w:val="009E03BC"/>
    <w:rsid w:val="009E0B40"/>
    <w:rsid w:val="009E1EFC"/>
    <w:rsid w:val="009E2D26"/>
    <w:rsid w:val="009E2FBB"/>
    <w:rsid w:val="009E3801"/>
    <w:rsid w:val="009E47FC"/>
    <w:rsid w:val="009E51FA"/>
    <w:rsid w:val="009E5457"/>
    <w:rsid w:val="009E576F"/>
    <w:rsid w:val="009E5B56"/>
    <w:rsid w:val="009E6174"/>
    <w:rsid w:val="009E6774"/>
    <w:rsid w:val="009E67E1"/>
    <w:rsid w:val="009E6862"/>
    <w:rsid w:val="009E6E0E"/>
    <w:rsid w:val="009E767D"/>
    <w:rsid w:val="009E79FC"/>
    <w:rsid w:val="009E7F4F"/>
    <w:rsid w:val="009E7FD6"/>
    <w:rsid w:val="009F0B05"/>
    <w:rsid w:val="009F0ED2"/>
    <w:rsid w:val="009F1AE1"/>
    <w:rsid w:val="009F21CF"/>
    <w:rsid w:val="009F2A65"/>
    <w:rsid w:val="009F2F62"/>
    <w:rsid w:val="009F3BB3"/>
    <w:rsid w:val="009F3EE4"/>
    <w:rsid w:val="009F502B"/>
    <w:rsid w:val="009F5315"/>
    <w:rsid w:val="009F5FC4"/>
    <w:rsid w:val="009F6050"/>
    <w:rsid w:val="009F668F"/>
    <w:rsid w:val="009F66EC"/>
    <w:rsid w:val="009F767E"/>
    <w:rsid w:val="009F7C96"/>
    <w:rsid w:val="00A00919"/>
    <w:rsid w:val="00A00C14"/>
    <w:rsid w:val="00A00E9D"/>
    <w:rsid w:val="00A0119C"/>
    <w:rsid w:val="00A0128C"/>
    <w:rsid w:val="00A038CE"/>
    <w:rsid w:val="00A043B4"/>
    <w:rsid w:val="00A046EA"/>
    <w:rsid w:val="00A04C8C"/>
    <w:rsid w:val="00A0566E"/>
    <w:rsid w:val="00A057AD"/>
    <w:rsid w:val="00A05D88"/>
    <w:rsid w:val="00A06351"/>
    <w:rsid w:val="00A06648"/>
    <w:rsid w:val="00A069EB"/>
    <w:rsid w:val="00A06D01"/>
    <w:rsid w:val="00A07210"/>
    <w:rsid w:val="00A077C7"/>
    <w:rsid w:val="00A07A76"/>
    <w:rsid w:val="00A10AE1"/>
    <w:rsid w:val="00A10F4E"/>
    <w:rsid w:val="00A11614"/>
    <w:rsid w:val="00A116AF"/>
    <w:rsid w:val="00A12A8F"/>
    <w:rsid w:val="00A133CB"/>
    <w:rsid w:val="00A13A12"/>
    <w:rsid w:val="00A15312"/>
    <w:rsid w:val="00A15D98"/>
    <w:rsid w:val="00A17930"/>
    <w:rsid w:val="00A17DB3"/>
    <w:rsid w:val="00A208A6"/>
    <w:rsid w:val="00A20F47"/>
    <w:rsid w:val="00A2130B"/>
    <w:rsid w:val="00A2147F"/>
    <w:rsid w:val="00A22657"/>
    <w:rsid w:val="00A22E37"/>
    <w:rsid w:val="00A247DE"/>
    <w:rsid w:val="00A24C9E"/>
    <w:rsid w:val="00A25197"/>
    <w:rsid w:val="00A25495"/>
    <w:rsid w:val="00A2555B"/>
    <w:rsid w:val="00A258FA"/>
    <w:rsid w:val="00A25D8C"/>
    <w:rsid w:val="00A27A9F"/>
    <w:rsid w:val="00A30454"/>
    <w:rsid w:val="00A30572"/>
    <w:rsid w:val="00A31B1B"/>
    <w:rsid w:val="00A32538"/>
    <w:rsid w:val="00A32A48"/>
    <w:rsid w:val="00A32F38"/>
    <w:rsid w:val="00A343FA"/>
    <w:rsid w:val="00A35A93"/>
    <w:rsid w:val="00A3648C"/>
    <w:rsid w:val="00A36AF5"/>
    <w:rsid w:val="00A36D6A"/>
    <w:rsid w:val="00A372AE"/>
    <w:rsid w:val="00A40325"/>
    <w:rsid w:val="00A41145"/>
    <w:rsid w:val="00A4124B"/>
    <w:rsid w:val="00A4168F"/>
    <w:rsid w:val="00A41B2C"/>
    <w:rsid w:val="00A427D0"/>
    <w:rsid w:val="00A42B77"/>
    <w:rsid w:val="00A42D42"/>
    <w:rsid w:val="00A44050"/>
    <w:rsid w:val="00A44AB0"/>
    <w:rsid w:val="00A4513B"/>
    <w:rsid w:val="00A456A8"/>
    <w:rsid w:val="00A45A20"/>
    <w:rsid w:val="00A45C4C"/>
    <w:rsid w:val="00A45E62"/>
    <w:rsid w:val="00A45F3C"/>
    <w:rsid w:val="00A45FAE"/>
    <w:rsid w:val="00A4633D"/>
    <w:rsid w:val="00A46DBB"/>
    <w:rsid w:val="00A46E9B"/>
    <w:rsid w:val="00A4786B"/>
    <w:rsid w:val="00A4788E"/>
    <w:rsid w:val="00A50065"/>
    <w:rsid w:val="00A5009B"/>
    <w:rsid w:val="00A50275"/>
    <w:rsid w:val="00A50ABC"/>
    <w:rsid w:val="00A51B74"/>
    <w:rsid w:val="00A51D20"/>
    <w:rsid w:val="00A521CB"/>
    <w:rsid w:val="00A5250C"/>
    <w:rsid w:val="00A53B2A"/>
    <w:rsid w:val="00A53D51"/>
    <w:rsid w:val="00A549AB"/>
    <w:rsid w:val="00A549B7"/>
    <w:rsid w:val="00A55036"/>
    <w:rsid w:val="00A55522"/>
    <w:rsid w:val="00A560C2"/>
    <w:rsid w:val="00A56418"/>
    <w:rsid w:val="00A57603"/>
    <w:rsid w:val="00A60491"/>
    <w:rsid w:val="00A61DC7"/>
    <w:rsid w:val="00A61E9A"/>
    <w:rsid w:val="00A6232F"/>
    <w:rsid w:val="00A627E3"/>
    <w:rsid w:val="00A6289B"/>
    <w:rsid w:val="00A6393E"/>
    <w:rsid w:val="00A641CA"/>
    <w:rsid w:val="00A6425D"/>
    <w:rsid w:val="00A65315"/>
    <w:rsid w:val="00A6579A"/>
    <w:rsid w:val="00A65823"/>
    <w:rsid w:val="00A65E2F"/>
    <w:rsid w:val="00A65EED"/>
    <w:rsid w:val="00A65F2D"/>
    <w:rsid w:val="00A6651D"/>
    <w:rsid w:val="00A67477"/>
    <w:rsid w:val="00A67B03"/>
    <w:rsid w:val="00A67D3D"/>
    <w:rsid w:val="00A701E8"/>
    <w:rsid w:val="00A7111F"/>
    <w:rsid w:val="00A71276"/>
    <w:rsid w:val="00A712F0"/>
    <w:rsid w:val="00A71332"/>
    <w:rsid w:val="00A7134D"/>
    <w:rsid w:val="00A71A2F"/>
    <w:rsid w:val="00A724ED"/>
    <w:rsid w:val="00A729A3"/>
    <w:rsid w:val="00A72FB4"/>
    <w:rsid w:val="00A74023"/>
    <w:rsid w:val="00A74915"/>
    <w:rsid w:val="00A74CB2"/>
    <w:rsid w:val="00A74D94"/>
    <w:rsid w:val="00A75501"/>
    <w:rsid w:val="00A76192"/>
    <w:rsid w:val="00A7695E"/>
    <w:rsid w:val="00A76B58"/>
    <w:rsid w:val="00A76D66"/>
    <w:rsid w:val="00A76E46"/>
    <w:rsid w:val="00A773D0"/>
    <w:rsid w:val="00A77AEF"/>
    <w:rsid w:val="00A80049"/>
    <w:rsid w:val="00A80513"/>
    <w:rsid w:val="00A80CA3"/>
    <w:rsid w:val="00A8126A"/>
    <w:rsid w:val="00A81881"/>
    <w:rsid w:val="00A81ABC"/>
    <w:rsid w:val="00A82AB7"/>
    <w:rsid w:val="00A837F1"/>
    <w:rsid w:val="00A839CE"/>
    <w:rsid w:val="00A83AB3"/>
    <w:rsid w:val="00A83D46"/>
    <w:rsid w:val="00A840F1"/>
    <w:rsid w:val="00A84489"/>
    <w:rsid w:val="00A844F0"/>
    <w:rsid w:val="00A846A7"/>
    <w:rsid w:val="00A84818"/>
    <w:rsid w:val="00A84F3A"/>
    <w:rsid w:val="00A861AA"/>
    <w:rsid w:val="00A86DD0"/>
    <w:rsid w:val="00A9056C"/>
    <w:rsid w:val="00A908A3"/>
    <w:rsid w:val="00A908D3"/>
    <w:rsid w:val="00A929F1"/>
    <w:rsid w:val="00A92F11"/>
    <w:rsid w:val="00A9440B"/>
    <w:rsid w:val="00A94444"/>
    <w:rsid w:val="00A94ACD"/>
    <w:rsid w:val="00A95AA3"/>
    <w:rsid w:val="00A95D99"/>
    <w:rsid w:val="00A96037"/>
    <w:rsid w:val="00A96197"/>
    <w:rsid w:val="00A96A73"/>
    <w:rsid w:val="00A9725B"/>
    <w:rsid w:val="00A97AC6"/>
    <w:rsid w:val="00A97F29"/>
    <w:rsid w:val="00AA0088"/>
    <w:rsid w:val="00AA008C"/>
    <w:rsid w:val="00AA05C9"/>
    <w:rsid w:val="00AA108D"/>
    <w:rsid w:val="00AA1C40"/>
    <w:rsid w:val="00AA1D9F"/>
    <w:rsid w:val="00AA1FE3"/>
    <w:rsid w:val="00AA24E0"/>
    <w:rsid w:val="00AA38DE"/>
    <w:rsid w:val="00AA5203"/>
    <w:rsid w:val="00AA6517"/>
    <w:rsid w:val="00AA7640"/>
    <w:rsid w:val="00AA7D07"/>
    <w:rsid w:val="00AB0909"/>
    <w:rsid w:val="00AB0BEF"/>
    <w:rsid w:val="00AB1333"/>
    <w:rsid w:val="00AB1F73"/>
    <w:rsid w:val="00AB219B"/>
    <w:rsid w:val="00AB2273"/>
    <w:rsid w:val="00AB235E"/>
    <w:rsid w:val="00AB27F0"/>
    <w:rsid w:val="00AB2959"/>
    <w:rsid w:val="00AB2FBB"/>
    <w:rsid w:val="00AB3832"/>
    <w:rsid w:val="00AB3EDD"/>
    <w:rsid w:val="00AB4004"/>
    <w:rsid w:val="00AB468B"/>
    <w:rsid w:val="00AB4739"/>
    <w:rsid w:val="00AB4799"/>
    <w:rsid w:val="00AB5F55"/>
    <w:rsid w:val="00AB613E"/>
    <w:rsid w:val="00AB7122"/>
    <w:rsid w:val="00AB7320"/>
    <w:rsid w:val="00AB7564"/>
    <w:rsid w:val="00AB7C61"/>
    <w:rsid w:val="00AC069F"/>
    <w:rsid w:val="00AC0794"/>
    <w:rsid w:val="00AC1ECD"/>
    <w:rsid w:val="00AC32FE"/>
    <w:rsid w:val="00AC3C52"/>
    <w:rsid w:val="00AC3C59"/>
    <w:rsid w:val="00AC3C91"/>
    <w:rsid w:val="00AC44BC"/>
    <w:rsid w:val="00AC61CD"/>
    <w:rsid w:val="00AC648E"/>
    <w:rsid w:val="00AC6640"/>
    <w:rsid w:val="00AC728C"/>
    <w:rsid w:val="00AC7713"/>
    <w:rsid w:val="00AD018F"/>
    <w:rsid w:val="00AD0359"/>
    <w:rsid w:val="00AD1037"/>
    <w:rsid w:val="00AD1C6A"/>
    <w:rsid w:val="00AD204D"/>
    <w:rsid w:val="00AD2134"/>
    <w:rsid w:val="00AD3443"/>
    <w:rsid w:val="00AD375F"/>
    <w:rsid w:val="00AD4649"/>
    <w:rsid w:val="00AD4CCE"/>
    <w:rsid w:val="00AD5421"/>
    <w:rsid w:val="00AD5BCE"/>
    <w:rsid w:val="00AD5C8F"/>
    <w:rsid w:val="00AD6C30"/>
    <w:rsid w:val="00AD75B0"/>
    <w:rsid w:val="00AD798A"/>
    <w:rsid w:val="00AE02BF"/>
    <w:rsid w:val="00AE1129"/>
    <w:rsid w:val="00AE1507"/>
    <w:rsid w:val="00AE1804"/>
    <w:rsid w:val="00AE18D9"/>
    <w:rsid w:val="00AE19FD"/>
    <w:rsid w:val="00AE1A20"/>
    <w:rsid w:val="00AE1B44"/>
    <w:rsid w:val="00AE1C48"/>
    <w:rsid w:val="00AE2C43"/>
    <w:rsid w:val="00AE2D94"/>
    <w:rsid w:val="00AE34E8"/>
    <w:rsid w:val="00AE3C9B"/>
    <w:rsid w:val="00AE44C3"/>
    <w:rsid w:val="00AE5106"/>
    <w:rsid w:val="00AE625A"/>
    <w:rsid w:val="00AE7977"/>
    <w:rsid w:val="00AF073F"/>
    <w:rsid w:val="00AF163F"/>
    <w:rsid w:val="00AF1943"/>
    <w:rsid w:val="00AF20D4"/>
    <w:rsid w:val="00AF237C"/>
    <w:rsid w:val="00AF26B8"/>
    <w:rsid w:val="00AF2704"/>
    <w:rsid w:val="00AF2BD1"/>
    <w:rsid w:val="00AF3C99"/>
    <w:rsid w:val="00AF3FD4"/>
    <w:rsid w:val="00AF5498"/>
    <w:rsid w:val="00AF5FEE"/>
    <w:rsid w:val="00AF731F"/>
    <w:rsid w:val="00B00B3F"/>
    <w:rsid w:val="00B01A42"/>
    <w:rsid w:val="00B01B16"/>
    <w:rsid w:val="00B01EC6"/>
    <w:rsid w:val="00B02291"/>
    <w:rsid w:val="00B024D9"/>
    <w:rsid w:val="00B029B3"/>
    <w:rsid w:val="00B02BD2"/>
    <w:rsid w:val="00B02BE4"/>
    <w:rsid w:val="00B02DA4"/>
    <w:rsid w:val="00B03249"/>
    <w:rsid w:val="00B0340B"/>
    <w:rsid w:val="00B04430"/>
    <w:rsid w:val="00B04DD0"/>
    <w:rsid w:val="00B06FE6"/>
    <w:rsid w:val="00B07458"/>
    <w:rsid w:val="00B07A98"/>
    <w:rsid w:val="00B07EDB"/>
    <w:rsid w:val="00B1030C"/>
    <w:rsid w:val="00B109D1"/>
    <w:rsid w:val="00B10D50"/>
    <w:rsid w:val="00B11AE4"/>
    <w:rsid w:val="00B11DBD"/>
    <w:rsid w:val="00B11F3B"/>
    <w:rsid w:val="00B1239E"/>
    <w:rsid w:val="00B12E1E"/>
    <w:rsid w:val="00B1318C"/>
    <w:rsid w:val="00B13B6E"/>
    <w:rsid w:val="00B13BAD"/>
    <w:rsid w:val="00B14229"/>
    <w:rsid w:val="00B1448B"/>
    <w:rsid w:val="00B14F30"/>
    <w:rsid w:val="00B1540A"/>
    <w:rsid w:val="00B15BEC"/>
    <w:rsid w:val="00B16682"/>
    <w:rsid w:val="00B168D4"/>
    <w:rsid w:val="00B173B4"/>
    <w:rsid w:val="00B178A9"/>
    <w:rsid w:val="00B20FFF"/>
    <w:rsid w:val="00B2113E"/>
    <w:rsid w:val="00B21C9D"/>
    <w:rsid w:val="00B21D3E"/>
    <w:rsid w:val="00B21DF9"/>
    <w:rsid w:val="00B22779"/>
    <w:rsid w:val="00B22AA5"/>
    <w:rsid w:val="00B22DD3"/>
    <w:rsid w:val="00B23201"/>
    <w:rsid w:val="00B23888"/>
    <w:rsid w:val="00B23FF1"/>
    <w:rsid w:val="00B2404E"/>
    <w:rsid w:val="00B24533"/>
    <w:rsid w:val="00B246FE"/>
    <w:rsid w:val="00B248DE"/>
    <w:rsid w:val="00B24C6A"/>
    <w:rsid w:val="00B256C4"/>
    <w:rsid w:val="00B25784"/>
    <w:rsid w:val="00B26208"/>
    <w:rsid w:val="00B264B0"/>
    <w:rsid w:val="00B26843"/>
    <w:rsid w:val="00B26F2B"/>
    <w:rsid w:val="00B26FBA"/>
    <w:rsid w:val="00B276BA"/>
    <w:rsid w:val="00B27A09"/>
    <w:rsid w:val="00B316A3"/>
    <w:rsid w:val="00B32755"/>
    <w:rsid w:val="00B32B20"/>
    <w:rsid w:val="00B33332"/>
    <w:rsid w:val="00B33608"/>
    <w:rsid w:val="00B337A7"/>
    <w:rsid w:val="00B339E6"/>
    <w:rsid w:val="00B33AA6"/>
    <w:rsid w:val="00B342AE"/>
    <w:rsid w:val="00B3470C"/>
    <w:rsid w:val="00B3498F"/>
    <w:rsid w:val="00B34B26"/>
    <w:rsid w:val="00B34C54"/>
    <w:rsid w:val="00B355AB"/>
    <w:rsid w:val="00B35C7B"/>
    <w:rsid w:val="00B36FCD"/>
    <w:rsid w:val="00B40118"/>
    <w:rsid w:val="00B411E3"/>
    <w:rsid w:val="00B4168F"/>
    <w:rsid w:val="00B419C3"/>
    <w:rsid w:val="00B420ED"/>
    <w:rsid w:val="00B4255B"/>
    <w:rsid w:val="00B42786"/>
    <w:rsid w:val="00B42E98"/>
    <w:rsid w:val="00B42FD1"/>
    <w:rsid w:val="00B43044"/>
    <w:rsid w:val="00B431A1"/>
    <w:rsid w:val="00B43376"/>
    <w:rsid w:val="00B438E3"/>
    <w:rsid w:val="00B43918"/>
    <w:rsid w:val="00B43ECA"/>
    <w:rsid w:val="00B45694"/>
    <w:rsid w:val="00B45776"/>
    <w:rsid w:val="00B4590A"/>
    <w:rsid w:val="00B45B5E"/>
    <w:rsid w:val="00B469F3"/>
    <w:rsid w:val="00B47C8C"/>
    <w:rsid w:val="00B47E71"/>
    <w:rsid w:val="00B502DE"/>
    <w:rsid w:val="00B5080C"/>
    <w:rsid w:val="00B50D27"/>
    <w:rsid w:val="00B50EAA"/>
    <w:rsid w:val="00B50F24"/>
    <w:rsid w:val="00B51150"/>
    <w:rsid w:val="00B51BE7"/>
    <w:rsid w:val="00B5299C"/>
    <w:rsid w:val="00B52A30"/>
    <w:rsid w:val="00B52A76"/>
    <w:rsid w:val="00B53587"/>
    <w:rsid w:val="00B535E0"/>
    <w:rsid w:val="00B536ED"/>
    <w:rsid w:val="00B536EF"/>
    <w:rsid w:val="00B546E6"/>
    <w:rsid w:val="00B54D3B"/>
    <w:rsid w:val="00B54E18"/>
    <w:rsid w:val="00B5631F"/>
    <w:rsid w:val="00B56C11"/>
    <w:rsid w:val="00B57461"/>
    <w:rsid w:val="00B57883"/>
    <w:rsid w:val="00B60703"/>
    <w:rsid w:val="00B60881"/>
    <w:rsid w:val="00B609CB"/>
    <w:rsid w:val="00B60D6A"/>
    <w:rsid w:val="00B61D2D"/>
    <w:rsid w:val="00B62A52"/>
    <w:rsid w:val="00B62FD1"/>
    <w:rsid w:val="00B63A09"/>
    <w:rsid w:val="00B641E5"/>
    <w:rsid w:val="00B64AEC"/>
    <w:rsid w:val="00B66933"/>
    <w:rsid w:val="00B66CA1"/>
    <w:rsid w:val="00B66E90"/>
    <w:rsid w:val="00B67878"/>
    <w:rsid w:val="00B713B7"/>
    <w:rsid w:val="00B7155F"/>
    <w:rsid w:val="00B71BD3"/>
    <w:rsid w:val="00B71FFF"/>
    <w:rsid w:val="00B72354"/>
    <w:rsid w:val="00B731EB"/>
    <w:rsid w:val="00B7331D"/>
    <w:rsid w:val="00B73478"/>
    <w:rsid w:val="00B735AB"/>
    <w:rsid w:val="00B73C57"/>
    <w:rsid w:val="00B74729"/>
    <w:rsid w:val="00B757F8"/>
    <w:rsid w:val="00B75B93"/>
    <w:rsid w:val="00B75FDA"/>
    <w:rsid w:val="00B76A00"/>
    <w:rsid w:val="00B76EF6"/>
    <w:rsid w:val="00B77270"/>
    <w:rsid w:val="00B77471"/>
    <w:rsid w:val="00B77AA8"/>
    <w:rsid w:val="00B80FE0"/>
    <w:rsid w:val="00B813E4"/>
    <w:rsid w:val="00B81D70"/>
    <w:rsid w:val="00B8216F"/>
    <w:rsid w:val="00B8264F"/>
    <w:rsid w:val="00B82C72"/>
    <w:rsid w:val="00B83385"/>
    <w:rsid w:val="00B83670"/>
    <w:rsid w:val="00B83B6C"/>
    <w:rsid w:val="00B84540"/>
    <w:rsid w:val="00B8486B"/>
    <w:rsid w:val="00B84A9E"/>
    <w:rsid w:val="00B84C07"/>
    <w:rsid w:val="00B851CC"/>
    <w:rsid w:val="00B853FB"/>
    <w:rsid w:val="00B85767"/>
    <w:rsid w:val="00B85B06"/>
    <w:rsid w:val="00B86CF9"/>
    <w:rsid w:val="00B874ED"/>
    <w:rsid w:val="00B901DD"/>
    <w:rsid w:val="00B9068C"/>
    <w:rsid w:val="00B90821"/>
    <w:rsid w:val="00B908E3"/>
    <w:rsid w:val="00B9197D"/>
    <w:rsid w:val="00B91D90"/>
    <w:rsid w:val="00B92537"/>
    <w:rsid w:val="00B92E03"/>
    <w:rsid w:val="00B9307E"/>
    <w:rsid w:val="00B938AE"/>
    <w:rsid w:val="00B93A3F"/>
    <w:rsid w:val="00B945A0"/>
    <w:rsid w:val="00B94A45"/>
    <w:rsid w:val="00B94A9F"/>
    <w:rsid w:val="00B94F71"/>
    <w:rsid w:val="00B9504E"/>
    <w:rsid w:val="00B95157"/>
    <w:rsid w:val="00B95CA8"/>
    <w:rsid w:val="00B9771B"/>
    <w:rsid w:val="00B97AAB"/>
    <w:rsid w:val="00BA0AC7"/>
    <w:rsid w:val="00BA0C97"/>
    <w:rsid w:val="00BA1ADF"/>
    <w:rsid w:val="00BA26B9"/>
    <w:rsid w:val="00BA2ADE"/>
    <w:rsid w:val="00BA2D8A"/>
    <w:rsid w:val="00BA2FD1"/>
    <w:rsid w:val="00BA34DF"/>
    <w:rsid w:val="00BA453F"/>
    <w:rsid w:val="00BA460B"/>
    <w:rsid w:val="00BA46D4"/>
    <w:rsid w:val="00BA4E0B"/>
    <w:rsid w:val="00BA5928"/>
    <w:rsid w:val="00BA5E53"/>
    <w:rsid w:val="00BA6A40"/>
    <w:rsid w:val="00BA6D6A"/>
    <w:rsid w:val="00BA73F0"/>
    <w:rsid w:val="00BA78CB"/>
    <w:rsid w:val="00BB086C"/>
    <w:rsid w:val="00BB09AB"/>
    <w:rsid w:val="00BB0A63"/>
    <w:rsid w:val="00BB10B9"/>
    <w:rsid w:val="00BB1189"/>
    <w:rsid w:val="00BB15B8"/>
    <w:rsid w:val="00BB15FE"/>
    <w:rsid w:val="00BB1C1A"/>
    <w:rsid w:val="00BB26CE"/>
    <w:rsid w:val="00BB2AC6"/>
    <w:rsid w:val="00BB3B9C"/>
    <w:rsid w:val="00BB42F2"/>
    <w:rsid w:val="00BB4462"/>
    <w:rsid w:val="00BB4495"/>
    <w:rsid w:val="00BB4919"/>
    <w:rsid w:val="00BB53E9"/>
    <w:rsid w:val="00BB557B"/>
    <w:rsid w:val="00BB56F7"/>
    <w:rsid w:val="00BB57B2"/>
    <w:rsid w:val="00BB6B5F"/>
    <w:rsid w:val="00BB6DEC"/>
    <w:rsid w:val="00BB70F7"/>
    <w:rsid w:val="00BB7543"/>
    <w:rsid w:val="00BC037B"/>
    <w:rsid w:val="00BC0B30"/>
    <w:rsid w:val="00BC1AF6"/>
    <w:rsid w:val="00BC1EA8"/>
    <w:rsid w:val="00BC249C"/>
    <w:rsid w:val="00BC25ED"/>
    <w:rsid w:val="00BC29AD"/>
    <w:rsid w:val="00BC2A7C"/>
    <w:rsid w:val="00BC2D86"/>
    <w:rsid w:val="00BC2E13"/>
    <w:rsid w:val="00BC2EE2"/>
    <w:rsid w:val="00BC30A4"/>
    <w:rsid w:val="00BC317E"/>
    <w:rsid w:val="00BC3308"/>
    <w:rsid w:val="00BC3A9E"/>
    <w:rsid w:val="00BC4587"/>
    <w:rsid w:val="00BC4735"/>
    <w:rsid w:val="00BC57B2"/>
    <w:rsid w:val="00BC606D"/>
    <w:rsid w:val="00BC65DA"/>
    <w:rsid w:val="00BC7406"/>
    <w:rsid w:val="00BD0478"/>
    <w:rsid w:val="00BD0A88"/>
    <w:rsid w:val="00BD0DE4"/>
    <w:rsid w:val="00BD0E6B"/>
    <w:rsid w:val="00BD12DB"/>
    <w:rsid w:val="00BD245F"/>
    <w:rsid w:val="00BD2813"/>
    <w:rsid w:val="00BD3B14"/>
    <w:rsid w:val="00BD45B4"/>
    <w:rsid w:val="00BD5099"/>
    <w:rsid w:val="00BD511B"/>
    <w:rsid w:val="00BD6606"/>
    <w:rsid w:val="00BD66C5"/>
    <w:rsid w:val="00BD6F0B"/>
    <w:rsid w:val="00BD726F"/>
    <w:rsid w:val="00BD7B2A"/>
    <w:rsid w:val="00BD7F44"/>
    <w:rsid w:val="00BE0010"/>
    <w:rsid w:val="00BE08E6"/>
    <w:rsid w:val="00BE0C6D"/>
    <w:rsid w:val="00BE0ED6"/>
    <w:rsid w:val="00BE115C"/>
    <w:rsid w:val="00BE1305"/>
    <w:rsid w:val="00BE2889"/>
    <w:rsid w:val="00BE3065"/>
    <w:rsid w:val="00BE3314"/>
    <w:rsid w:val="00BE337A"/>
    <w:rsid w:val="00BE3A4D"/>
    <w:rsid w:val="00BE3BED"/>
    <w:rsid w:val="00BE41B4"/>
    <w:rsid w:val="00BE64A6"/>
    <w:rsid w:val="00BE65A4"/>
    <w:rsid w:val="00BE6C18"/>
    <w:rsid w:val="00BE6D24"/>
    <w:rsid w:val="00BE72AE"/>
    <w:rsid w:val="00BE74CE"/>
    <w:rsid w:val="00BF0085"/>
    <w:rsid w:val="00BF0178"/>
    <w:rsid w:val="00BF024F"/>
    <w:rsid w:val="00BF0FB0"/>
    <w:rsid w:val="00BF1A08"/>
    <w:rsid w:val="00BF3121"/>
    <w:rsid w:val="00BF361C"/>
    <w:rsid w:val="00BF3689"/>
    <w:rsid w:val="00BF3A2C"/>
    <w:rsid w:val="00BF3B45"/>
    <w:rsid w:val="00BF3DE1"/>
    <w:rsid w:val="00BF4597"/>
    <w:rsid w:val="00BF565B"/>
    <w:rsid w:val="00BF573A"/>
    <w:rsid w:val="00BF59DF"/>
    <w:rsid w:val="00BF5CE9"/>
    <w:rsid w:val="00BF5CF0"/>
    <w:rsid w:val="00BF6C81"/>
    <w:rsid w:val="00BF6EE9"/>
    <w:rsid w:val="00BF7826"/>
    <w:rsid w:val="00BF7C11"/>
    <w:rsid w:val="00C003DA"/>
    <w:rsid w:val="00C0099B"/>
    <w:rsid w:val="00C00ECE"/>
    <w:rsid w:val="00C0274B"/>
    <w:rsid w:val="00C0282E"/>
    <w:rsid w:val="00C041AD"/>
    <w:rsid w:val="00C04807"/>
    <w:rsid w:val="00C04E63"/>
    <w:rsid w:val="00C0500C"/>
    <w:rsid w:val="00C0508F"/>
    <w:rsid w:val="00C05B64"/>
    <w:rsid w:val="00C06282"/>
    <w:rsid w:val="00C06318"/>
    <w:rsid w:val="00C06D0D"/>
    <w:rsid w:val="00C06E32"/>
    <w:rsid w:val="00C07080"/>
    <w:rsid w:val="00C07A30"/>
    <w:rsid w:val="00C1011E"/>
    <w:rsid w:val="00C10DDF"/>
    <w:rsid w:val="00C10F23"/>
    <w:rsid w:val="00C11679"/>
    <w:rsid w:val="00C12143"/>
    <w:rsid w:val="00C12162"/>
    <w:rsid w:val="00C12802"/>
    <w:rsid w:val="00C13E5F"/>
    <w:rsid w:val="00C14208"/>
    <w:rsid w:val="00C1478D"/>
    <w:rsid w:val="00C1489B"/>
    <w:rsid w:val="00C14C5E"/>
    <w:rsid w:val="00C153D7"/>
    <w:rsid w:val="00C15674"/>
    <w:rsid w:val="00C157B1"/>
    <w:rsid w:val="00C15E9D"/>
    <w:rsid w:val="00C16376"/>
    <w:rsid w:val="00C1659A"/>
    <w:rsid w:val="00C17287"/>
    <w:rsid w:val="00C20999"/>
    <w:rsid w:val="00C21615"/>
    <w:rsid w:val="00C219EF"/>
    <w:rsid w:val="00C21CD4"/>
    <w:rsid w:val="00C21F73"/>
    <w:rsid w:val="00C2228A"/>
    <w:rsid w:val="00C22570"/>
    <w:rsid w:val="00C23070"/>
    <w:rsid w:val="00C2323A"/>
    <w:rsid w:val="00C234AF"/>
    <w:rsid w:val="00C238B4"/>
    <w:rsid w:val="00C242DE"/>
    <w:rsid w:val="00C2432F"/>
    <w:rsid w:val="00C24737"/>
    <w:rsid w:val="00C24878"/>
    <w:rsid w:val="00C24DC6"/>
    <w:rsid w:val="00C2502E"/>
    <w:rsid w:val="00C2532D"/>
    <w:rsid w:val="00C254CA"/>
    <w:rsid w:val="00C25DAD"/>
    <w:rsid w:val="00C26067"/>
    <w:rsid w:val="00C26813"/>
    <w:rsid w:val="00C302FA"/>
    <w:rsid w:val="00C3062B"/>
    <w:rsid w:val="00C3090F"/>
    <w:rsid w:val="00C30F38"/>
    <w:rsid w:val="00C31903"/>
    <w:rsid w:val="00C31CFC"/>
    <w:rsid w:val="00C3222D"/>
    <w:rsid w:val="00C3292F"/>
    <w:rsid w:val="00C349E4"/>
    <w:rsid w:val="00C34FB0"/>
    <w:rsid w:val="00C3541F"/>
    <w:rsid w:val="00C35BE5"/>
    <w:rsid w:val="00C35C50"/>
    <w:rsid w:val="00C360EC"/>
    <w:rsid w:val="00C375EA"/>
    <w:rsid w:val="00C3791B"/>
    <w:rsid w:val="00C41AF1"/>
    <w:rsid w:val="00C41D65"/>
    <w:rsid w:val="00C423D2"/>
    <w:rsid w:val="00C429C5"/>
    <w:rsid w:val="00C432DA"/>
    <w:rsid w:val="00C43A25"/>
    <w:rsid w:val="00C43FE2"/>
    <w:rsid w:val="00C442C1"/>
    <w:rsid w:val="00C442DF"/>
    <w:rsid w:val="00C45975"/>
    <w:rsid w:val="00C459C6"/>
    <w:rsid w:val="00C46B80"/>
    <w:rsid w:val="00C47CB3"/>
    <w:rsid w:val="00C47EA0"/>
    <w:rsid w:val="00C47F48"/>
    <w:rsid w:val="00C50430"/>
    <w:rsid w:val="00C527B8"/>
    <w:rsid w:val="00C5318A"/>
    <w:rsid w:val="00C5347D"/>
    <w:rsid w:val="00C53701"/>
    <w:rsid w:val="00C53708"/>
    <w:rsid w:val="00C538C6"/>
    <w:rsid w:val="00C53A21"/>
    <w:rsid w:val="00C5524B"/>
    <w:rsid w:val="00C55727"/>
    <w:rsid w:val="00C55C39"/>
    <w:rsid w:val="00C55EE1"/>
    <w:rsid w:val="00C56309"/>
    <w:rsid w:val="00C568B6"/>
    <w:rsid w:val="00C57565"/>
    <w:rsid w:val="00C60297"/>
    <w:rsid w:val="00C60990"/>
    <w:rsid w:val="00C61340"/>
    <w:rsid w:val="00C61AD4"/>
    <w:rsid w:val="00C62E83"/>
    <w:rsid w:val="00C639D1"/>
    <w:rsid w:val="00C644EE"/>
    <w:rsid w:val="00C64D10"/>
    <w:rsid w:val="00C64E90"/>
    <w:rsid w:val="00C65050"/>
    <w:rsid w:val="00C6640D"/>
    <w:rsid w:val="00C668A6"/>
    <w:rsid w:val="00C66B4C"/>
    <w:rsid w:val="00C66D15"/>
    <w:rsid w:val="00C672AC"/>
    <w:rsid w:val="00C67F57"/>
    <w:rsid w:val="00C70035"/>
    <w:rsid w:val="00C700DF"/>
    <w:rsid w:val="00C702E3"/>
    <w:rsid w:val="00C707E2"/>
    <w:rsid w:val="00C711CC"/>
    <w:rsid w:val="00C71936"/>
    <w:rsid w:val="00C71A22"/>
    <w:rsid w:val="00C72366"/>
    <w:rsid w:val="00C72386"/>
    <w:rsid w:val="00C725AB"/>
    <w:rsid w:val="00C73112"/>
    <w:rsid w:val="00C73333"/>
    <w:rsid w:val="00C73481"/>
    <w:rsid w:val="00C73F78"/>
    <w:rsid w:val="00C7452C"/>
    <w:rsid w:val="00C7494C"/>
    <w:rsid w:val="00C749AB"/>
    <w:rsid w:val="00C74AB5"/>
    <w:rsid w:val="00C74E8E"/>
    <w:rsid w:val="00C74F0E"/>
    <w:rsid w:val="00C75843"/>
    <w:rsid w:val="00C75E1C"/>
    <w:rsid w:val="00C76BC3"/>
    <w:rsid w:val="00C76C0D"/>
    <w:rsid w:val="00C76DD4"/>
    <w:rsid w:val="00C76F2D"/>
    <w:rsid w:val="00C775B0"/>
    <w:rsid w:val="00C77774"/>
    <w:rsid w:val="00C7783F"/>
    <w:rsid w:val="00C77923"/>
    <w:rsid w:val="00C77959"/>
    <w:rsid w:val="00C8108F"/>
    <w:rsid w:val="00C8161E"/>
    <w:rsid w:val="00C81904"/>
    <w:rsid w:val="00C8223F"/>
    <w:rsid w:val="00C82347"/>
    <w:rsid w:val="00C826D0"/>
    <w:rsid w:val="00C82D1F"/>
    <w:rsid w:val="00C8304F"/>
    <w:rsid w:val="00C84481"/>
    <w:rsid w:val="00C84594"/>
    <w:rsid w:val="00C84F43"/>
    <w:rsid w:val="00C855BC"/>
    <w:rsid w:val="00C857E6"/>
    <w:rsid w:val="00C85BE8"/>
    <w:rsid w:val="00C85D7A"/>
    <w:rsid w:val="00C86752"/>
    <w:rsid w:val="00C86839"/>
    <w:rsid w:val="00C86BCC"/>
    <w:rsid w:val="00C87331"/>
    <w:rsid w:val="00C901CD"/>
    <w:rsid w:val="00C91AB0"/>
    <w:rsid w:val="00C91FD6"/>
    <w:rsid w:val="00C921D4"/>
    <w:rsid w:val="00C92253"/>
    <w:rsid w:val="00C928B5"/>
    <w:rsid w:val="00C92D7C"/>
    <w:rsid w:val="00C92E28"/>
    <w:rsid w:val="00C93CE0"/>
    <w:rsid w:val="00C93E41"/>
    <w:rsid w:val="00C95314"/>
    <w:rsid w:val="00C953CB"/>
    <w:rsid w:val="00C959ED"/>
    <w:rsid w:val="00C963EF"/>
    <w:rsid w:val="00C96434"/>
    <w:rsid w:val="00C96BBD"/>
    <w:rsid w:val="00C97376"/>
    <w:rsid w:val="00C97489"/>
    <w:rsid w:val="00C97C0F"/>
    <w:rsid w:val="00C97C84"/>
    <w:rsid w:val="00CA29BE"/>
    <w:rsid w:val="00CA2D01"/>
    <w:rsid w:val="00CA2E4D"/>
    <w:rsid w:val="00CA3980"/>
    <w:rsid w:val="00CA3BA3"/>
    <w:rsid w:val="00CA4739"/>
    <w:rsid w:val="00CA5FA0"/>
    <w:rsid w:val="00CA626C"/>
    <w:rsid w:val="00CA65AC"/>
    <w:rsid w:val="00CA6776"/>
    <w:rsid w:val="00CA6C52"/>
    <w:rsid w:val="00CA74BF"/>
    <w:rsid w:val="00CA77B2"/>
    <w:rsid w:val="00CA7A81"/>
    <w:rsid w:val="00CB02E5"/>
    <w:rsid w:val="00CB110F"/>
    <w:rsid w:val="00CB11AE"/>
    <w:rsid w:val="00CB1549"/>
    <w:rsid w:val="00CB1FA9"/>
    <w:rsid w:val="00CB213F"/>
    <w:rsid w:val="00CB231E"/>
    <w:rsid w:val="00CB2341"/>
    <w:rsid w:val="00CB2F92"/>
    <w:rsid w:val="00CB3BE0"/>
    <w:rsid w:val="00CB3E82"/>
    <w:rsid w:val="00CB4016"/>
    <w:rsid w:val="00CB4BDC"/>
    <w:rsid w:val="00CB5741"/>
    <w:rsid w:val="00CB5916"/>
    <w:rsid w:val="00CB5DB1"/>
    <w:rsid w:val="00CB61C1"/>
    <w:rsid w:val="00CB6C24"/>
    <w:rsid w:val="00CB7438"/>
    <w:rsid w:val="00CC0976"/>
    <w:rsid w:val="00CC0A53"/>
    <w:rsid w:val="00CC0C5F"/>
    <w:rsid w:val="00CC159C"/>
    <w:rsid w:val="00CC1B96"/>
    <w:rsid w:val="00CC2B81"/>
    <w:rsid w:val="00CC37B5"/>
    <w:rsid w:val="00CC5074"/>
    <w:rsid w:val="00CC5258"/>
    <w:rsid w:val="00CC5AAF"/>
    <w:rsid w:val="00CC5CC9"/>
    <w:rsid w:val="00CC5F70"/>
    <w:rsid w:val="00CC6D4E"/>
    <w:rsid w:val="00CC7AE5"/>
    <w:rsid w:val="00CC7D71"/>
    <w:rsid w:val="00CD0CFB"/>
    <w:rsid w:val="00CD168F"/>
    <w:rsid w:val="00CD1B04"/>
    <w:rsid w:val="00CD1B41"/>
    <w:rsid w:val="00CD249F"/>
    <w:rsid w:val="00CD282C"/>
    <w:rsid w:val="00CD286F"/>
    <w:rsid w:val="00CD318F"/>
    <w:rsid w:val="00CD5176"/>
    <w:rsid w:val="00CD5A9D"/>
    <w:rsid w:val="00CD5E9C"/>
    <w:rsid w:val="00CD62E6"/>
    <w:rsid w:val="00CD7455"/>
    <w:rsid w:val="00CD78BE"/>
    <w:rsid w:val="00CD7C94"/>
    <w:rsid w:val="00CE07B7"/>
    <w:rsid w:val="00CE12C1"/>
    <w:rsid w:val="00CE16CE"/>
    <w:rsid w:val="00CE2A57"/>
    <w:rsid w:val="00CE399E"/>
    <w:rsid w:val="00CE400A"/>
    <w:rsid w:val="00CE43F9"/>
    <w:rsid w:val="00CE4916"/>
    <w:rsid w:val="00CE5564"/>
    <w:rsid w:val="00CE573E"/>
    <w:rsid w:val="00CE5D13"/>
    <w:rsid w:val="00CE6750"/>
    <w:rsid w:val="00CE6953"/>
    <w:rsid w:val="00CE7AED"/>
    <w:rsid w:val="00CE7AEE"/>
    <w:rsid w:val="00CE7E84"/>
    <w:rsid w:val="00CE7FEE"/>
    <w:rsid w:val="00CF0016"/>
    <w:rsid w:val="00CF05D3"/>
    <w:rsid w:val="00CF1333"/>
    <w:rsid w:val="00CF141B"/>
    <w:rsid w:val="00CF2E03"/>
    <w:rsid w:val="00CF3497"/>
    <w:rsid w:val="00CF389A"/>
    <w:rsid w:val="00CF3C55"/>
    <w:rsid w:val="00CF54DB"/>
    <w:rsid w:val="00CF5957"/>
    <w:rsid w:val="00CF5D86"/>
    <w:rsid w:val="00CF6733"/>
    <w:rsid w:val="00CF69C6"/>
    <w:rsid w:val="00CF6EB8"/>
    <w:rsid w:val="00CF6EE4"/>
    <w:rsid w:val="00D011CE"/>
    <w:rsid w:val="00D012EC"/>
    <w:rsid w:val="00D01578"/>
    <w:rsid w:val="00D015B5"/>
    <w:rsid w:val="00D01A50"/>
    <w:rsid w:val="00D02637"/>
    <w:rsid w:val="00D027EC"/>
    <w:rsid w:val="00D02870"/>
    <w:rsid w:val="00D02B73"/>
    <w:rsid w:val="00D02E0C"/>
    <w:rsid w:val="00D02E31"/>
    <w:rsid w:val="00D04482"/>
    <w:rsid w:val="00D044FA"/>
    <w:rsid w:val="00D0464F"/>
    <w:rsid w:val="00D047BF"/>
    <w:rsid w:val="00D04E60"/>
    <w:rsid w:val="00D0558D"/>
    <w:rsid w:val="00D069AE"/>
    <w:rsid w:val="00D06A83"/>
    <w:rsid w:val="00D0720F"/>
    <w:rsid w:val="00D07EF0"/>
    <w:rsid w:val="00D07F0E"/>
    <w:rsid w:val="00D1059A"/>
    <w:rsid w:val="00D11B95"/>
    <w:rsid w:val="00D12212"/>
    <w:rsid w:val="00D1259D"/>
    <w:rsid w:val="00D13089"/>
    <w:rsid w:val="00D1313F"/>
    <w:rsid w:val="00D137DC"/>
    <w:rsid w:val="00D1386A"/>
    <w:rsid w:val="00D13A94"/>
    <w:rsid w:val="00D14418"/>
    <w:rsid w:val="00D1466A"/>
    <w:rsid w:val="00D14714"/>
    <w:rsid w:val="00D15035"/>
    <w:rsid w:val="00D15621"/>
    <w:rsid w:val="00D157E1"/>
    <w:rsid w:val="00D1603E"/>
    <w:rsid w:val="00D1626C"/>
    <w:rsid w:val="00D16EB6"/>
    <w:rsid w:val="00D170D2"/>
    <w:rsid w:val="00D174B3"/>
    <w:rsid w:val="00D17717"/>
    <w:rsid w:val="00D178A0"/>
    <w:rsid w:val="00D17B18"/>
    <w:rsid w:val="00D20355"/>
    <w:rsid w:val="00D20D3A"/>
    <w:rsid w:val="00D20FD7"/>
    <w:rsid w:val="00D2278D"/>
    <w:rsid w:val="00D233CF"/>
    <w:rsid w:val="00D249A1"/>
    <w:rsid w:val="00D24E08"/>
    <w:rsid w:val="00D24E72"/>
    <w:rsid w:val="00D24F47"/>
    <w:rsid w:val="00D26240"/>
    <w:rsid w:val="00D2675F"/>
    <w:rsid w:val="00D26A24"/>
    <w:rsid w:val="00D26C88"/>
    <w:rsid w:val="00D26D7C"/>
    <w:rsid w:val="00D26EE9"/>
    <w:rsid w:val="00D26F6A"/>
    <w:rsid w:val="00D27A95"/>
    <w:rsid w:val="00D30534"/>
    <w:rsid w:val="00D31298"/>
    <w:rsid w:val="00D3136F"/>
    <w:rsid w:val="00D31731"/>
    <w:rsid w:val="00D31909"/>
    <w:rsid w:val="00D3251F"/>
    <w:rsid w:val="00D32DEF"/>
    <w:rsid w:val="00D3395B"/>
    <w:rsid w:val="00D347AA"/>
    <w:rsid w:val="00D34F52"/>
    <w:rsid w:val="00D354D0"/>
    <w:rsid w:val="00D35612"/>
    <w:rsid w:val="00D36C7A"/>
    <w:rsid w:val="00D36DEA"/>
    <w:rsid w:val="00D36F09"/>
    <w:rsid w:val="00D37163"/>
    <w:rsid w:val="00D37444"/>
    <w:rsid w:val="00D37613"/>
    <w:rsid w:val="00D37D57"/>
    <w:rsid w:val="00D37DFB"/>
    <w:rsid w:val="00D40EDF"/>
    <w:rsid w:val="00D417FC"/>
    <w:rsid w:val="00D42B35"/>
    <w:rsid w:val="00D42E0F"/>
    <w:rsid w:val="00D433F5"/>
    <w:rsid w:val="00D4382F"/>
    <w:rsid w:val="00D44434"/>
    <w:rsid w:val="00D457FD"/>
    <w:rsid w:val="00D4598B"/>
    <w:rsid w:val="00D46786"/>
    <w:rsid w:val="00D46E09"/>
    <w:rsid w:val="00D47659"/>
    <w:rsid w:val="00D51506"/>
    <w:rsid w:val="00D51A30"/>
    <w:rsid w:val="00D51ED5"/>
    <w:rsid w:val="00D52CFA"/>
    <w:rsid w:val="00D52EE2"/>
    <w:rsid w:val="00D535F7"/>
    <w:rsid w:val="00D53E5B"/>
    <w:rsid w:val="00D549ED"/>
    <w:rsid w:val="00D54B7B"/>
    <w:rsid w:val="00D55D8F"/>
    <w:rsid w:val="00D55F6A"/>
    <w:rsid w:val="00D60068"/>
    <w:rsid w:val="00D60146"/>
    <w:rsid w:val="00D60982"/>
    <w:rsid w:val="00D6123C"/>
    <w:rsid w:val="00D61758"/>
    <w:rsid w:val="00D61D15"/>
    <w:rsid w:val="00D627F7"/>
    <w:rsid w:val="00D63A45"/>
    <w:rsid w:val="00D63C8C"/>
    <w:rsid w:val="00D64175"/>
    <w:rsid w:val="00D64B69"/>
    <w:rsid w:val="00D64FBC"/>
    <w:rsid w:val="00D66942"/>
    <w:rsid w:val="00D67133"/>
    <w:rsid w:val="00D70211"/>
    <w:rsid w:val="00D70893"/>
    <w:rsid w:val="00D71926"/>
    <w:rsid w:val="00D71EBC"/>
    <w:rsid w:val="00D72494"/>
    <w:rsid w:val="00D7368E"/>
    <w:rsid w:val="00D750C2"/>
    <w:rsid w:val="00D75733"/>
    <w:rsid w:val="00D759CB"/>
    <w:rsid w:val="00D7613A"/>
    <w:rsid w:val="00D7638C"/>
    <w:rsid w:val="00D764B4"/>
    <w:rsid w:val="00D76A24"/>
    <w:rsid w:val="00D775C1"/>
    <w:rsid w:val="00D7761E"/>
    <w:rsid w:val="00D80077"/>
    <w:rsid w:val="00D801EA"/>
    <w:rsid w:val="00D803AF"/>
    <w:rsid w:val="00D805D8"/>
    <w:rsid w:val="00D80616"/>
    <w:rsid w:val="00D80FF1"/>
    <w:rsid w:val="00D812A8"/>
    <w:rsid w:val="00D81CF5"/>
    <w:rsid w:val="00D8276B"/>
    <w:rsid w:val="00D828B1"/>
    <w:rsid w:val="00D82A9A"/>
    <w:rsid w:val="00D82FE5"/>
    <w:rsid w:val="00D83FF7"/>
    <w:rsid w:val="00D84307"/>
    <w:rsid w:val="00D8473D"/>
    <w:rsid w:val="00D85667"/>
    <w:rsid w:val="00D87437"/>
    <w:rsid w:val="00D87B92"/>
    <w:rsid w:val="00D907CE"/>
    <w:rsid w:val="00D91D3F"/>
    <w:rsid w:val="00D92009"/>
    <w:rsid w:val="00D92301"/>
    <w:rsid w:val="00D927DB"/>
    <w:rsid w:val="00D92D97"/>
    <w:rsid w:val="00D96307"/>
    <w:rsid w:val="00D96A30"/>
    <w:rsid w:val="00D96CFE"/>
    <w:rsid w:val="00D97464"/>
    <w:rsid w:val="00D975A1"/>
    <w:rsid w:val="00D97C63"/>
    <w:rsid w:val="00D97FA3"/>
    <w:rsid w:val="00DA0701"/>
    <w:rsid w:val="00DA13FC"/>
    <w:rsid w:val="00DA14D5"/>
    <w:rsid w:val="00DA1ADC"/>
    <w:rsid w:val="00DA1B02"/>
    <w:rsid w:val="00DA2AD1"/>
    <w:rsid w:val="00DA2B3D"/>
    <w:rsid w:val="00DA2D87"/>
    <w:rsid w:val="00DA300E"/>
    <w:rsid w:val="00DA3945"/>
    <w:rsid w:val="00DA4353"/>
    <w:rsid w:val="00DA5B44"/>
    <w:rsid w:val="00DA5E28"/>
    <w:rsid w:val="00DA65F6"/>
    <w:rsid w:val="00DA7179"/>
    <w:rsid w:val="00DB0364"/>
    <w:rsid w:val="00DB07AA"/>
    <w:rsid w:val="00DB0D4E"/>
    <w:rsid w:val="00DB17B4"/>
    <w:rsid w:val="00DB1BCE"/>
    <w:rsid w:val="00DB1ECA"/>
    <w:rsid w:val="00DB2C81"/>
    <w:rsid w:val="00DB327F"/>
    <w:rsid w:val="00DB390A"/>
    <w:rsid w:val="00DB39B3"/>
    <w:rsid w:val="00DB6911"/>
    <w:rsid w:val="00DB73F6"/>
    <w:rsid w:val="00DB78FF"/>
    <w:rsid w:val="00DC0A87"/>
    <w:rsid w:val="00DC0C78"/>
    <w:rsid w:val="00DC1A91"/>
    <w:rsid w:val="00DC1C23"/>
    <w:rsid w:val="00DC26D4"/>
    <w:rsid w:val="00DC2C2B"/>
    <w:rsid w:val="00DC2F57"/>
    <w:rsid w:val="00DC3102"/>
    <w:rsid w:val="00DC3BB4"/>
    <w:rsid w:val="00DC4462"/>
    <w:rsid w:val="00DC45AF"/>
    <w:rsid w:val="00DC4BC7"/>
    <w:rsid w:val="00DC4C80"/>
    <w:rsid w:val="00DC538D"/>
    <w:rsid w:val="00DC5516"/>
    <w:rsid w:val="00DC5746"/>
    <w:rsid w:val="00DC5D3B"/>
    <w:rsid w:val="00DC5DEE"/>
    <w:rsid w:val="00DC5E87"/>
    <w:rsid w:val="00DC601C"/>
    <w:rsid w:val="00DC7545"/>
    <w:rsid w:val="00DC7DCA"/>
    <w:rsid w:val="00DD0162"/>
    <w:rsid w:val="00DD027C"/>
    <w:rsid w:val="00DD0639"/>
    <w:rsid w:val="00DD0DD3"/>
    <w:rsid w:val="00DD1431"/>
    <w:rsid w:val="00DD2941"/>
    <w:rsid w:val="00DD2E92"/>
    <w:rsid w:val="00DD3068"/>
    <w:rsid w:val="00DD39EB"/>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3DC"/>
    <w:rsid w:val="00DE0673"/>
    <w:rsid w:val="00DE068D"/>
    <w:rsid w:val="00DE17FC"/>
    <w:rsid w:val="00DE2000"/>
    <w:rsid w:val="00DE2117"/>
    <w:rsid w:val="00DE2A89"/>
    <w:rsid w:val="00DE2B8C"/>
    <w:rsid w:val="00DE3A38"/>
    <w:rsid w:val="00DE4916"/>
    <w:rsid w:val="00DE4EDD"/>
    <w:rsid w:val="00DE511E"/>
    <w:rsid w:val="00DE5AC2"/>
    <w:rsid w:val="00DE6380"/>
    <w:rsid w:val="00DE6906"/>
    <w:rsid w:val="00DE6B77"/>
    <w:rsid w:val="00DE6B9B"/>
    <w:rsid w:val="00DE71E8"/>
    <w:rsid w:val="00DE727A"/>
    <w:rsid w:val="00DE770A"/>
    <w:rsid w:val="00DE794B"/>
    <w:rsid w:val="00DF022F"/>
    <w:rsid w:val="00DF17D3"/>
    <w:rsid w:val="00DF1C99"/>
    <w:rsid w:val="00DF3C8B"/>
    <w:rsid w:val="00DF48B5"/>
    <w:rsid w:val="00DF51A7"/>
    <w:rsid w:val="00DF54B2"/>
    <w:rsid w:val="00DF5675"/>
    <w:rsid w:val="00DF59D0"/>
    <w:rsid w:val="00DF5F99"/>
    <w:rsid w:val="00DF6A24"/>
    <w:rsid w:val="00DF6DD4"/>
    <w:rsid w:val="00DF701B"/>
    <w:rsid w:val="00E017C6"/>
    <w:rsid w:val="00E021BA"/>
    <w:rsid w:val="00E03F00"/>
    <w:rsid w:val="00E04154"/>
    <w:rsid w:val="00E0427C"/>
    <w:rsid w:val="00E04D41"/>
    <w:rsid w:val="00E06BA4"/>
    <w:rsid w:val="00E06EDF"/>
    <w:rsid w:val="00E07177"/>
    <w:rsid w:val="00E07356"/>
    <w:rsid w:val="00E10AB5"/>
    <w:rsid w:val="00E116A5"/>
    <w:rsid w:val="00E11902"/>
    <w:rsid w:val="00E11AA8"/>
    <w:rsid w:val="00E122AB"/>
    <w:rsid w:val="00E12F39"/>
    <w:rsid w:val="00E1316D"/>
    <w:rsid w:val="00E13612"/>
    <w:rsid w:val="00E14844"/>
    <w:rsid w:val="00E14A2E"/>
    <w:rsid w:val="00E14BE2"/>
    <w:rsid w:val="00E159AD"/>
    <w:rsid w:val="00E15A71"/>
    <w:rsid w:val="00E1604C"/>
    <w:rsid w:val="00E161C0"/>
    <w:rsid w:val="00E16239"/>
    <w:rsid w:val="00E16551"/>
    <w:rsid w:val="00E179DF"/>
    <w:rsid w:val="00E202D9"/>
    <w:rsid w:val="00E20346"/>
    <w:rsid w:val="00E20630"/>
    <w:rsid w:val="00E22027"/>
    <w:rsid w:val="00E22077"/>
    <w:rsid w:val="00E23181"/>
    <w:rsid w:val="00E233B6"/>
    <w:rsid w:val="00E238B1"/>
    <w:rsid w:val="00E23DBF"/>
    <w:rsid w:val="00E24B7E"/>
    <w:rsid w:val="00E250BC"/>
    <w:rsid w:val="00E25755"/>
    <w:rsid w:val="00E26C21"/>
    <w:rsid w:val="00E273A0"/>
    <w:rsid w:val="00E275B9"/>
    <w:rsid w:val="00E27A8D"/>
    <w:rsid w:val="00E30B1B"/>
    <w:rsid w:val="00E30E21"/>
    <w:rsid w:val="00E313B5"/>
    <w:rsid w:val="00E31446"/>
    <w:rsid w:val="00E3161A"/>
    <w:rsid w:val="00E31CF0"/>
    <w:rsid w:val="00E31D54"/>
    <w:rsid w:val="00E31F34"/>
    <w:rsid w:val="00E323D7"/>
    <w:rsid w:val="00E32A47"/>
    <w:rsid w:val="00E32AC2"/>
    <w:rsid w:val="00E32D01"/>
    <w:rsid w:val="00E33CE6"/>
    <w:rsid w:val="00E353FF"/>
    <w:rsid w:val="00E358DC"/>
    <w:rsid w:val="00E35CBB"/>
    <w:rsid w:val="00E361B0"/>
    <w:rsid w:val="00E36209"/>
    <w:rsid w:val="00E3647A"/>
    <w:rsid w:val="00E3648D"/>
    <w:rsid w:val="00E366E1"/>
    <w:rsid w:val="00E37283"/>
    <w:rsid w:val="00E37979"/>
    <w:rsid w:val="00E37CDC"/>
    <w:rsid w:val="00E37E1F"/>
    <w:rsid w:val="00E37FB3"/>
    <w:rsid w:val="00E41107"/>
    <w:rsid w:val="00E4230B"/>
    <w:rsid w:val="00E425DD"/>
    <w:rsid w:val="00E429A1"/>
    <w:rsid w:val="00E4335C"/>
    <w:rsid w:val="00E437A5"/>
    <w:rsid w:val="00E439CE"/>
    <w:rsid w:val="00E44044"/>
    <w:rsid w:val="00E44276"/>
    <w:rsid w:val="00E448DD"/>
    <w:rsid w:val="00E44E4F"/>
    <w:rsid w:val="00E45878"/>
    <w:rsid w:val="00E45BCD"/>
    <w:rsid w:val="00E463DF"/>
    <w:rsid w:val="00E467DC"/>
    <w:rsid w:val="00E4700F"/>
    <w:rsid w:val="00E47FF8"/>
    <w:rsid w:val="00E50E18"/>
    <w:rsid w:val="00E510CF"/>
    <w:rsid w:val="00E515AE"/>
    <w:rsid w:val="00E5196C"/>
    <w:rsid w:val="00E51986"/>
    <w:rsid w:val="00E51EAE"/>
    <w:rsid w:val="00E5270D"/>
    <w:rsid w:val="00E52A34"/>
    <w:rsid w:val="00E52C45"/>
    <w:rsid w:val="00E53CAA"/>
    <w:rsid w:val="00E53D5E"/>
    <w:rsid w:val="00E54B53"/>
    <w:rsid w:val="00E550A2"/>
    <w:rsid w:val="00E560CF"/>
    <w:rsid w:val="00E56527"/>
    <w:rsid w:val="00E567C2"/>
    <w:rsid w:val="00E57493"/>
    <w:rsid w:val="00E57CEC"/>
    <w:rsid w:val="00E60560"/>
    <w:rsid w:val="00E60686"/>
    <w:rsid w:val="00E60FB9"/>
    <w:rsid w:val="00E6102A"/>
    <w:rsid w:val="00E61149"/>
    <w:rsid w:val="00E613D5"/>
    <w:rsid w:val="00E61FC3"/>
    <w:rsid w:val="00E62AAD"/>
    <w:rsid w:val="00E6308F"/>
    <w:rsid w:val="00E64025"/>
    <w:rsid w:val="00E65069"/>
    <w:rsid w:val="00E6612B"/>
    <w:rsid w:val="00E6677B"/>
    <w:rsid w:val="00E668BB"/>
    <w:rsid w:val="00E67058"/>
    <w:rsid w:val="00E6781A"/>
    <w:rsid w:val="00E678CD"/>
    <w:rsid w:val="00E70220"/>
    <w:rsid w:val="00E7089B"/>
    <w:rsid w:val="00E70ABE"/>
    <w:rsid w:val="00E70CAA"/>
    <w:rsid w:val="00E72258"/>
    <w:rsid w:val="00E73117"/>
    <w:rsid w:val="00E73400"/>
    <w:rsid w:val="00E74A0F"/>
    <w:rsid w:val="00E753B9"/>
    <w:rsid w:val="00E75527"/>
    <w:rsid w:val="00E75562"/>
    <w:rsid w:val="00E75A5A"/>
    <w:rsid w:val="00E75E99"/>
    <w:rsid w:val="00E75EC4"/>
    <w:rsid w:val="00E766F8"/>
    <w:rsid w:val="00E76916"/>
    <w:rsid w:val="00E76D74"/>
    <w:rsid w:val="00E77156"/>
    <w:rsid w:val="00E77ABA"/>
    <w:rsid w:val="00E800E2"/>
    <w:rsid w:val="00E80CEE"/>
    <w:rsid w:val="00E8183E"/>
    <w:rsid w:val="00E81872"/>
    <w:rsid w:val="00E821AE"/>
    <w:rsid w:val="00E823D6"/>
    <w:rsid w:val="00E8458C"/>
    <w:rsid w:val="00E84AE9"/>
    <w:rsid w:val="00E85163"/>
    <w:rsid w:val="00E854E1"/>
    <w:rsid w:val="00E85DC1"/>
    <w:rsid w:val="00E86E06"/>
    <w:rsid w:val="00E86E63"/>
    <w:rsid w:val="00E903A3"/>
    <w:rsid w:val="00E9084D"/>
    <w:rsid w:val="00E915BF"/>
    <w:rsid w:val="00E916E7"/>
    <w:rsid w:val="00E923F8"/>
    <w:rsid w:val="00E92525"/>
    <w:rsid w:val="00E92B0F"/>
    <w:rsid w:val="00E9318D"/>
    <w:rsid w:val="00E93380"/>
    <w:rsid w:val="00E93825"/>
    <w:rsid w:val="00E93DDB"/>
    <w:rsid w:val="00E94706"/>
    <w:rsid w:val="00E94E8C"/>
    <w:rsid w:val="00E96284"/>
    <w:rsid w:val="00E963AB"/>
    <w:rsid w:val="00E96F9F"/>
    <w:rsid w:val="00E97369"/>
    <w:rsid w:val="00E97416"/>
    <w:rsid w:val="00E97BCE"/>
    <w:rsid w:val="00E97C36"/>
    <w:rsid w:val="00EA0699"/>
    <w:rsid w:val="00EA315D"/>
    <w:rsid w:val="00EA3310"/>
    <w:rsid w:val="00EA3A3C"/>
    <w:rsid w:val="00EA3BBC"/>
    <w:rsid w:val="00EA3F00"/>
    <w:rsid w:val="00EA4FEC"/>
    <w:rsid w:val="00EA5C2D"/>
    <w:rsid w:val="00EA60FD"/>
    <w:rsid w:val="00EA611A"/>
    <w:rsid w:val="00EA664F"/>
    <w:rsid w:val="00EA767B"/>
    <w:rsid w:val="00EA795E"/>
    <w:rsid w:val="00EB050F"/>
    <w:rsid w:val="00EB0A44"/>
    <w:rsid w:val="00EB15EB"/>
    <w:rsid w:val="00EB1896"/>
    <w:rsid w:val="00EB1C77"/>
    <w:rsid w:val="00EB1E9F"/>
    <w:rsid w:val="00EB2323"/>
    <w:rsid w:val="00EB265F"/>
    <w:rsid w:val="00EB2A63"/>
    <w:rsid w:val="00EB3505"/>
    <w:rsid w:val="00EB3B82"/>
    <w:rsid w:val="00EB3FD0"/>
    <w:rsid w:val="00EB5BB2"/>
    <w:rsid w:val="00EB660A"/>
    <w:rsid w:val="00EB6777"/>
    <w:rsid w:val="00EB77EA"/>
    <w:rsid w:val="00EB798B"/>
    <w:rsid w:val="00EB7B41"/>
    <w:rsid w:val="00EB7FD6"/>
    <w:rsid w:val="00EC0702"/>
    <w:rsid w:val="00EC0AAC"/>
    <w:rsid w:val="00EC10D4"/>
    <w:rsid w:val="00EC1DA1"/>
    <w:rsid w:val="00EC20CC"/>
    <w:rsid w:val="00EC23D5"/>
    <w:rsid w:val="00EC2941"/>
    <w:rsid w:val="00EC3D63"/>
    <w:rsid w:val="00EC4605"/>
    <w:rsid w:val="00EC49C0"/>
    <w:rsid w:val="00EC4A6F"/>
    <w:rsid w:val="00EC5127"/>
    <w:rsid w:val="00EC5BC4"/>
    <w:rsid w:val="00EC6068"/>
    <w:rsid w:val="00EC644E"/>
    <w:rsid w:val="00EC6944"/>
    <w:rsid w:val="00EC6E56"/>
    <w:rsid w:val="00EC765B"/>
    <w:rsid w:val="00EC7C86"/>
    <w:rsid w:val="00ED057F"/>
    <w:rsid w:val="00ED066F"/>
    <w:rsid w:val="00ED0999"/>
    <w:rsid w:val="00ED1892"/>
    <w:rsid w:val="00ED22DA"/>
    <w:rsid w:val="00ED2C60"/>
    <w:rsid w:val="00ED2E62"/>
    <w:rsid w:val="00ED2E95"/>
    <w:rsid w:val="00ED2F33"/>
    <w:rsid w:val="00ED39FD"/>
    <w:rsid w:val="00ED40F6"/>
    <w:rsid w:val="00ED48C3"/>
    <w:rsid w:val="00ED4C9F"/>
    <w:rsid w:val="00ED5146"/>
    <w:rsid w:val="00ED532F"/>
    <w:rsid w:val="00ED583D"/>
    <w:rsid w:val="00ED5933"/>
    <w:rsid w:val="00ED6005"/>
    <w:rsid w:val="00ED6037"/>
    <w:rsid w:val="00ED626D"/>
    <w:rsid w:val="00ED69CA"/>
    <w:rsid w:val="00ED7559"/>
    <w:rsid w:val="00ED7709"/>
    <w:rsid w:val="00ED7851"/>
    <w:rsid w:val="00ED7890"/>
    <w:rsid w:val="00ED7EA2"/>
    <w:rsid w:val="00EE08C2"/>
    <w:rsid w:val="00EE0DF6"/>
    <w:rsid w:val="00EE147D"/>
    <w:rsid w:val="00EE1481"/>
    <w:rsid w:val="00EE16ED"/>
    <w:rsid w:val="00EE1868"/>
    <w:rsid w:val="00EE22A6"/>
    <w:rsid w:val="00EE2557"/>
    <w:rsid w:val="00EE2E6C"/>
    <w:rsid w:val="00EE2F7C"/>
    <w:rsid w:val="00EE331B"/>
    <w:rsid w:val="00EE38A1"/>
    <w:rsid w:val="00EE3C22"/>
    <w:rsid w:val="00EE401B"/>
    <w:rsid w:val="00EE4604"/>
    <w:rsid w:val="00EE466E"/>
    <w:rsid w:val="00EE5412"/>
    <w:rsid w:val="00EE5429"/>
    <w:rsid w:val="00EE59DE"/>
    <w:rsid w:val="00EE6102"/>
    <w:rsid w:val="00EE62E9"/>
    <w:rsid w:val="00EE66DD"/>
    <w:rsid w:val="00EE6C56"/>
    <w:rsid w:val="00EE7DCF"/>
    <w:rsid w:val="00EF0243"/>
    <w:rsid w:val="00EF0A0D"/>
    <w:rsid w:val="00EF12D2"/>
    <w:rsid w:val="00EF1780"/>
    <w:rsid w:val="00EF1B58"/>
    <w:rsid w:val="00EF1E02"/>
    <w:rsid w:val="00EF2591"/>
    <w:rsid w:val="00EF2EF7"/>
    <w:rsid w:val="00EF315F"/>
    <w:rsid w:val="00EF3489"/>
    <w:rsid w:val="00EF3734"/>
    <w:rsid w:val="00EF388F"/>
    <w:rsid w:val="00EF3C7D"/>
    <w:rsid w:val="00EF41D8"/>
    <w:rsid w:val="00EF5695"/>
    <w:rsid w:val="00EF6604"/>
    <w:rsid w:val="00EF6838"/>
    <w:rsid w:val="00EF6A17"/>
    <w:rsid w:val="00EF6D69"/>
    <w:rsid w:val="00EF79F0"/>
    <w:rsid w:val="00F00380"/>
    <w:rsid w:val="00F003F6"/>
    <w:rsid w:val="00F00649"/>
    <w:rsid w:val="00F0236B"/>
    <w:rsid w:val="00F0282E"/>
    <w:rsid w:val="00F02CAA"/>
    <w:rsid w:val="00F02D8A"/>
    <w:rsid w:val="00F0327D"/>
    <w:rsid w:val="00F03321"/>
    <w:rsid w:val="00F0383A"/>
    <w:rsid w:val="00F038B9"/>
    <w:rsid w:val="00F03A6E"/>
    <w:rsid w:val="00F04422"/>
    <w:rsid w:val="00F04AAF"/>
    <w:rsid w:val="00F04E91"/>
    <w:rsid w:val="00F052CD"/>
    <w:rsid w:val="00F056B3"/>
    <w:rsid w:val="00F061E0"/>
    <w:rsid w:val="00F07B2A"/>
    <w:rsid w:val="00F07FE4"/>
    <w:rsid w:val="00F1072A"/>
    <w:rsid w:val="00F10860"/>
    <w:rsid w:val="00F10A12"/>
    <w:rsid w:val="00F10B19"/>
    <w:rsid w:val="00F10E6C"/>
    <w:rsid w:val="00F11DEE"/>
    <w:rsid w:val="00F1289D"/>
    <w:rsid w:val="00F134E1"/>
    <w:rsid w:val="00F136DF"/>
    <w:rsid w:val="00F139A8"/>
    <w:rsid w:val="00F13BAE"/>
    <w:rsid w:val="00F13D2C"/>
    <w:rsid w:val="00F144BF"/>
    <w:rsid w:val="00F14918"/>
    <w:rsid w:val="00F15205"/>
    <w:rsid w:val="00F1547B"/>
    <w:rsid w:val="00F161CE"/>
    <w:rsid w:val="00F162CC"/>
    <w:rsid w:val="00F16381"/>
    <w:rsid w:val="00F16984"/>
    <w:rsid w:val="00F16ED9"/>
    <w:rsid w:val="00F16EDE"/>
    <w:rsid w:val="00F17542"/>
    <w:rsid w:val="00F17E5D"/>
    <w:rsid w:val="00F20111"/>
    <w:rsid w:val="00F20560"/>
    <w:rsid w:val="00F217C6"/>
    <w:rsid w:val="00F22002"/>
    <w:rsid w:val="00F221FB"/>
    <w:rsid w:val="00F22770"/>
    <w:rsid w:val="00F2306A"/>
    <w:rsid w:val="00F23888"/>
    <w:rsid w:val="00F238DC"/>
    <w:rsid w:val="00F2410E"/>
    <w:rsid w:val="00F246AB"/>
    <w:rsid w:val="00F24902"/>
    <w:rsid w:val="00F24B40"/>
    <w:rsid w:val="00F259B0"/>
    <w:rsid w:val="00F26752"/>
    <w:rsid w:val="00F26AB2"/>
    <w:rsid w:val="00F26B3C"/>
    <w:rsid w:val="00F2710B"/>
    <w:rsid w:val="00F301E8"/>
    <w:rsid w:val="00F30B26"/>
    <w:rsid w:val="00F3105C"/>
    <w:rsid w:val="00F31C49"/>
    <w:rsid w:val="00F31CD7"/>
    <w:rsid w:val="00F321B1"/>
    <w:rsid w:val="00F3239B"/>
    <w:rsid w:val="00F325A5"/>
    <w:rsid w:val="00F327B2"/>
    <w:rsid w:val="00F33A18"/>
    <w:rsid w:val="00F3485F"/>
    <w:rsid w:val="00F3520F"/>
    <w:rsid w:val="00F357E1"/>
    <w:rsid w:val="00F35BE2"/>
    <w:rsid w:val="00F36A60"/>
    <w:rsid w:val="00F36E27"/>
    <w:rsid w:val="00F36F53"/>
    <w:rsid w:val="00F374D1"/>
    <w:rsid w:val="00F378AC"/>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637E"/>
    <w:rsid w:val="00F46AE9"/>
    <w:rsid w:val="00F46E93"/>
    <w:rsid w:val="00F472BC"/>
    <w:rsid w:val="00F50499"/>
    <w:rsid w:val="00F511ED"/>
    <w:rsid w:val="00F527E9"/>
    <w:rsid w:val="00F53BB0"/>
    <w:rsid w:val="00F53FFD"/>
    <w:rsid w:val="00F546A6"/>
    <w:rsid w:val="00F548BA"/>
    <w:rsid w:val="00F5512C"/>
    <w:rsid w:val="00F55636"/>
    <w:rsid w:val="00F556B1"/>
    <w:rsid w:val="00F55F1D"/>
    <w:rsid w:val="00F565FA"/>
    <w:rsid w:val="00F5679B"/>
    <w:rsid w:val="00F56E3A"/>
    <w:rsid w:val="00F57205"/>
    <w:rsid w:val="00F5777E"/>
    <w:rsid w:val="00F601C2"/>
    <w:rsid w:val="00F60910"/>
    <w:rsid w:val="00F612D8"/>
    <w:rsid w:val="00F623E1"/>
    <w:rsid w:val="00F630D2"/>
    <w:rsid w:val="00F64498"/>
    <w:rsid w:val="00F64AD8"/>
    <w:rsid w:val="00F65A61"/>
    <w:rsid w:val="00F65B37"/>
    <w:rsid w:val="00F66590"/>
    <w:rsid w:val="00F66602"/>
    <w:rsid w:val="00F66AAD"/>
    <w:rsid w:val="00F6736F"/>
    <w:rsid w:val="00F6764A"/>
    <w:rsid w:val="00F67CCA"/>
    <w:rsid w:val="00F7023B"/>
    <w:rsid w:val="00F723F3"/>
    <w:rsid w:val="00F72D1F"/>
    <w:rsid w:val="00F7308B"/>
    <w:rsid w:val="00F73432"/>
    <w:rsid w:val="00F74007"/>
    <w:rsid w:val="00F743FA"/>
    <w:rsid w:val="00F76165"/>
    <w:rsid w:val="00F768AB"/>
    <w:rsid w:val="00F768B0"/>
    <w:rsid w:val="00F7722A"/>
    <w:rsid w:val="00F77456"/>
    <w:rsid w:val="00F805FC"/>
    <w:rsid w:val="00F808D6"/>
    <w:rsid w:val="00F813FA"/>
    <w:rsid w:val="00F81851"/>
    <w:rsid w:val="00F81B42"/>
    <w:rsid w:val="00F81CFE"/>
    <w:rsid w:val="00F81D0C"/>
    <w:rsid w:val="00F81DC7"/>
    <w:rsid w:val="00F82458"/>
    <w:rsid w:val="00F82C61"/>
    <w:rsid w:val="00F82D05"/>
    <w:rsid w:val="00F8310F"/>
    <w:rsid w:val="00F835B6"/>
    <w:rsid w:val="00F8384D"/>
    <w:rsid w:val="00F8399F"/>
    <w:rsid w:val="00F84205"/>
    <w:rsid w:val="00F84611"/>
    <w:rsid w:val="00F84A9A"/>
    <w:rsid w:val="00F85E28"/>
    <w:rsid w:val="00F86017"/>
    <w:rsid w:val="00F87298"/>
    <w:rsid w:val="00F875D7"/>
    <w:rsid w:val="00F877C4"/>
    <w:rsid w:val="00F87A2B"/>
    <w:rsid w:val="00F87BB6"/>
    <w:rsid w:val="00F906FE"/>
    <w:rsid w:val="00F90723"/>
    <w:rsid w:val="00F908EA"/>
    <w:rsid w:val="00F91141"/>
    <w:rsid w:val="00F91479"/>
    <w:rsid w:val="00F916C2"/>
    <w:rsid w:val="00F917B7"/>
    <w:rsid w:val="00F92854"/>
    <w:rsid w:val="00F92F50"/>
    <w:rsid w:val="00F93869"/>
    <w:rsid w:val="00F93BC3"/>
    <w:rsid w:val="00F93D6B"/>
    <w:rsid w:val="00F93F7A"/>
    <w:rsid w:val="00F94A34"/>
    <w:rsid w:val="00F94BFB"/>
    <w:rsid w:val="00F95283"/>
    <w:rsid w:val="00F9556E"/>
    <w:rsid w:val="00F957E1"/>
    <w:rsid w:val="00F95F7D"/>
    <w:rsid w:val="00F96004"/>
    <w:rsid w:val="00F96083"/>
    <w:rsid w:val="00F9674F"/>
    <w:rsid w:val="00F96F82"/>
    <w:rsid w:val="00FA01E4"/>
    <w:rsid w:val="00FA041D"/>
    <w:rsid w:val="00FA059E"/>
    <w:rsid w:val="00FA05ED"/>
    <w:rsid w:val="00FA1146"/>
    <w:rsid w:val="00FA14A8"/>
    <w:rsid w:val="00FA1A35"/>
    <w:rsid w:val="00FA26D5"/>
    <w:rsid w:val="00FA285B"/>
    <w:rsid w:val="00FA46F6"/>
    <w:rsid w:val="00FA4738"/>
    <w:rsid w:val="00FA47E7"/>
    <w:rsid w:val="00FA4AC6"/>
    <w:rsid w:val="00FA539F"/>
    <w:rsid w:val="00FA5555"/>
    <w:rsid w:val="00FA5667"/>
    <w:rsid w:val="00FA5690"/>
    <w:rsid w:val="00FA5846"/>
    <w:rsid w:val="00FA6474"/>
    <w:rsid w:val="00FA6D49"/>
    <w:rsid w:val="00FA7E55"/>
    <w:rsid w:val="00FB078F"/>
    <w:rsid w:val="00FB0938"/>
    <w:rsid w:val="00FB094B"/>
    <w:rsid w:val="00FB0F93"/>
    <w:rsid w:val="00FB21D4"/>
    <w:rsid w:val="00FB2450"/>
    <w:rsid w:val="00FB25FB"/>
    <w:rsid w:val="00FB2B2B"/>
    <w:rsid w:val="00FB3F46"/>
    <w:rsid w:val="00FB4026"/>
    <w:rsid w:val="00FB5287"/>
    <w:rsid w:val="00FB5F75"/>
    <w:rsid w:val="00FB767E"/>
    <w:rsid w:val="00FB7B48"/>
    <w:rsid w:val="00FC051B"/>
    <w:rsid w:val="00FC143B"/>
    <w:rsid w:val="00FC1798"/>
    <w:rsid w:val="00FC2121"/>
    <w:rsid w:val="00FC25DE"/>
    <w:rsid w:val="00FC2F5D"/>
    <w:rsid w:val="00FC3544"/>
    <w:rsid w:val="00FC3578"/>
    <w:rsid w:val="00FC4188"/>
    <w:rsid w:val="00FC4562"/>
    <w:rsid w:val="00FC56B0"/>
    <w:rsid w:val="00FC58AC"/>
    <w:rsid w:val="00FC60AA"/>
    <w:rsid w:val="00FC6122"/>
    <w:rsid w:val="00FC6160"/>
    <w:rsid w:val="00FC644F"/>
    <w:rsid w:val="00FC6591"/>
    <w:rsid w:val="00FC6912"/>
    <w:rsid w:val="00FC7DA6"/>
    <w:rsid w:val="00FD021C"/>
    <w:rsid w:val="00FD02F1"/>
    <w:rsid w:val="00FD0559"/>
    <w:rsid w:val="00FD1275"/>
    <w:rsid w:val="00FD1D1F"/>
    <w:rsid w:val="00FD250B"/>
    <w:rsid w:val="00FD2585"/>
    <w:rsid w:val="00FD266A"/>
    <w:rsid w:val="00FD29A6"/>
    <w:rsid w:val="00FD2CCB"/>
    <w:rsid w:val="00FD3172"/>
    <w:rsid w:val="00FD3631"/>
    <w:rsid w:val="00FD3CFF"/>
    <w:rsid w:val="00FD42B4"/>
    <w:rsid w:val="00FD4616"/>
    <w:rsid w:val="00FD4CCB"/>
    <w:rsid w:val="00FD5250"/>
    <w:rsid w:val="00FD5C9C"/>
    <w:rsid w:val="00FD62CA"/>
    <w:rsid w:val="00FD70FA"/>
    <w:rsid w:val="00FD75A0"/>
    <w:rsid w:val="00FD7781"/>
    <w:rsid w:val="00FE04C1"/>
    <w:rsid w:val="00FE0528"/>
    <w:rsid w:val="00FE06AD"/>
    <w:rsid w:val="00FE1540"/>
    <w:rsid w:val="00FE1727"/>
    <w:rsid w:val="00FE1865"/>
    <w:rsid w:val="00FE1E2F"/>
    <w:rsid w:val="00FE1F47"/>
    <w:rsid w:val="00FE2364"/>
    <w:rsid w:val="00FE2594"/>
    <w:rsid w:val="00FE3635"/>
    <w:rsid w:val="00FE4A52"/>
    <w:rsid w:val="00FE4C07"/>
    <w:rsid w:val="00FE5178"/>
    <w:rsid w:val="00FE5E38"/>
    <w:rsid w:val="00FE6430"/>
    <w:rsid w:val="00FE67F4"/>
    <w:rsid w:val="00FE6AAB"/>
    <w:rsid w:val="00FE70BD"/>
    <w:rsid w:val="00FE742A"/>
    <w:rsid w:val="00FF0BB1"/>
    <w:rsid w:val="00FF1333"/>
    <w:rsid w:val="00FF1370"/>
    <w:rsid w:val="00FF1539"/>
    <w:rsid w:val="00FF1563"/>
    <w:rsid w:val="00FF198E"/>
    <w:rsid w:val="00FF1A52"/>
    <w:rsid w:val="00FF2943"/>
    <w:rsid w:val="00FF298D"/>
    <w:rsid w:val="00FF2C88"/>
    <w:rsid w:val="00FF2E5C"/>
    <w:rsid w:val="00FF32CE"/>
    <w:rsid w:val="00FF3ADC"/>
    <w:rsid w:val="00FF42A8"/>
    <w:rsid w:val="00FF44B1"/>
    <w:rsid w:val="00FF466C"/>
    <w:rsid w:val="00FF5256"/>
    <w:rsid w:val="00FF5D12"/>
    <w:rsid w:val="00FF6536"/>
    <w:rsid w:val="00FF6789"/>
    <w:rsid w:val="00FF6813"/>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660C37B1-9B7A-4DD1-91AF-D93143CC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dliffe.byu.edu/papers/tvc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B2ECF5A-650C-4741-ADC1-61604108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6074</TotalTime>
  <Pages>36</Pages>
  <Words>31276</Words>
  <Characters>178278</Characters>
  <Application>Microsoft Office Word</Application>
  <DocSecurity>0</DocSecurity>
  <Lines>1485</Lines>
  <Paragraphs>418</Paragraphs>
  <ScaleCrop>false</ScaleCrop>
  <Company/>
  <LinksUpToDate>false</LinksUpToDate>
  <CharactersWithSpaces>209136</CharactersWithSpaces>
  <SharedDoc>false</SharedDoc>
  <HLinks>
    <vt:vector size="6" baseType="variant">
      <vt:variant>
        <vt:i4>917568</vt:i4>
      </vt:variant>
      <vt:variant>
        <vt:i4>183</vt:i4>
      </vt:variant>
      <vt:variant>
        <vt:i4>0</vt:i4>
      </vt:variant>
      <vt:variant>
        <vt:i4>5</vt:i4>
      </vt:variant>
      <vt:variant>
        <vt:lpwstr>https://www.imf.org/external/pubs/ft/wp/2002/wp02104.pdf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3610</cp:revision>
  <dcterms:created xsi:type="dcterms:W3CDTF">2019-11-19T18:30:00Z</dcterms:created>
  <dcterms:modified xsi:type="dcterms:W3CDTF">2020-04-01T13:20:00Z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zotero-version="5.0.85"&gt;&lt;session id="Tj8fkmC2"/&gt;&lt;style id="http://www.zotero.org/styles/american-political-science-association" locale="en-GB" hasBibliography="1" bibliographyStyleHasBeenSet="1"/&gt;&lt;prefs&gt;&lt;pref name="fieldType" value=</vt:lpwstr>
  </property>
</Properties>
</file>