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5B3998E6" w:rsidR="00030234" w:rsidRDefault="00EB660A" w:rsidP="001F2071">
      <w:pPr>
        <w:pStyle w:val="Title"/>
        <w:rPr>
          <w:sz w:val="36"/>
          <w:szCs w:val="36"/>
        </w:rPr>
      </w:pPr>
      <w:r w:rsidRPr="001F2071">
        <w:rPr>
          <w:sz w:val="36"/>
          <w:szCs w:val="36"/>
        </w:rPr>
        <w:t>Limiting Regimes</w:t>
      </w:r>
      <w:r w:rsidR="00030234" w:rsidRPr="001F2071">
        <w:rPr>
          <w:sz w:val="36"/>
          <w:szCs w:val="36"/>
        </w:rPr>
        <w:t xml:space="preserve"> and Electoral Instability: A Reduced-Form Approach</w:t>
      </w:r>
    </w:p>
    <w:p w14:paraId="4BABA6B1" w14:textId="63020FDF" w:rsidR="00293665" w:rsidRPr="00E35CBB" w:rsidRDefault="00293665" w:rsidP="00E35CBB">
      <w:pPr>
        <w:pStyle w:val="Title"/>
        <w:jc w:val="center"/>
        <w:rPr>
          <w:sz w:val="36"/>
          <w:szCs w:val="36"/>
        </w:rPr>
      </w:pPr>
      <w:r w:rsidRPr="00E35CBB">
        <w:rPr>
          <w:sz w:val="36"/>
          <w:szCs w:val="36"/>
        </w:rPr>
        <w:t>Isaac Liu</w:t>
      </w:r>
    </w:p>
    <w:p w14:paraId="468912A3" w14:textId="73094ED4" w:rsidR="00D157E1" w:rsidRDefault="00B85767" w:rsidP="001F2071">
      <w:pPr>
        <w:pStyle w:val="Heading1"/>
      </w:pPr>
      <w:r>
        <w:t>Abstract</w:t>
      </w:r>
    </w:p>
    <w:p w14:paraId="2A87916A" w14:textId="311FF608" w:rsidR="00AD4CCE" w:rsidRDefault="00D157E1" w:rsidP="002F28E1">
      <w:r>
        <w:t xml:space="preserve">In this </w:t>
      </w:r>
      <w:r w:rsidR="001E4470">
        <w:t>research design</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 xml:space="preserve">central bank independence and fixed exchange rates </w:t>
      </w:r>
      <w:r w:rsidR="00C84481" w:rsidRPr="00947E02">
        <w:t>affect</w:t>
      </w:r>
      <w:r w:rsidR="00C84481">
        <w:t xml:space="preserve"> </w:t>
      </w:r>
      <w:r w:rsidR="00547244">
        <w:t xml:space="preserve">electoral </w:t>
      </w:r>
      <w:r w:rsidR="00A2555B">
        <w:t>and political instabilit</w:t>
      </w:r>
      <w:r w:rsidR="008924EB">
        <w:t>y.</w:t>
      </w:r>
      <w:r w:rsidR="0017328E">
        <w:t xml:space="preserve"> </w:t>
      </w:r>
      <w:r w:rsidR="00004C88">
        <w:t xml:space="preserve">This </w:t>
      </w:r>
      <w:r w:rsidR="00A56418">
        <w:t>provides insight into</w:t>
      </w:r>
      <w:r w:rsidR="007C2A33">
        <w:t xml:space="preserve"> </w:t>
      </w:r>
      <w:r w:rsidR="000D09CC">
        <w:t xml:space="preserve">choice among </w:t>
      </w:r>
      <w:r w:rsidR="007C2A33">
        <w:t xml:space="preserve">social welfarist,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a wide range of competing mechanisms</w:t>
      </w:r>
      <w:r w:rsidR="002016F0">
        <w:t>.</w:t>
      </w:r>
      <w:r w:rsidR="00375EFD">
        <w:t xml:space="preserve"> </w:t>
      </w:r>
      <w:r w:rsidR="0032626D">
        <w:t>I also take care to address issues of potential endogeneity not covered in previous work</w:t>
      </w:r>
      <w:r w:rsidR="00E923F8">
        <w:t xml:space="preserve">, using </w:t>
      </w:r>
      <w:r w:rsidR="00055076">
        <w:t xml:space="preserve">panel data and instrumental variables techniques over a wide </w:t>
      </w:r>
      <w:r w:rsidR="002E6E70">
        <w:t xml:space="preserve">range of </w:t>
      </w:r>
      <w:r w:rsidR="00956DD3">
        <w:t>democracies</w:t>
      </w:r>
      <w:r w:rsidR="00E923F8">
        <w:t xml:space="preserve"> from 1970</w:t>
      </w:r>
      <w:r w:rsidR="00BF573A">
        <w:t>-2012</w:t>
      </w:r>
      <w:r w:rsidR="00A839CE">
        <w:t>.</w:t>
      </w:r>
      <w:r w:rsidR="00375EFD">
        <w:t xml:space="preserve"> </w:t>
      </w:r>
      <w:r w:rsidR="00FE1540" w:rsidRPr="00375EFD">
        <w:rPr>
          <w:highlight w:val="yellow"/>
        </w:rPr>
        <w:t>FINDINGS HERE.</w:t>
      </w:r>
    </w:p>
    <w:p w14:paraId="6BD0CF27" w14:textId="511FBF67" w:rsidR="00DD39EB" w:rsidRDefault="00841FF5" w:rsidP="002F28E1">
      <w:pPr>
        <w:rPr>
          <w:strike/>
        </w:rPr>
      </w:pPr>
      <w:r w:rsidRPr="00956DD3">
        <w:rPr>
          <w:strike/>
        </w:rPr>
        <w:t>Autocracy- small group of elites?</w:t>
      </w:r>
      <w:r w:rsidR="00DD027C" w:rsidRPr="00956DD3">
        <w:rPr>
          <w:strike/>
        </w:rPr>
        <w:t xml:space="preserve"> Use political instability, not electoral instabilit</w:t>
      </w:r>
      <w:r w:rsidR="00FC6591" w:rsidRPr="00956DD3">
        <w:rPr>
          <w:strike/>
        </w:rPr>
        <w:t>y. CBI does not really exist</w:t>
      </w:r>
      <w:r w:rsidR="00F94BFB" w:rsidRPr="00956DD3">
        <w:rPr>
          <w:strike/>
        </w:rPr>
        <w:t xml:space="preserve">, so fixed rates only. Still working out the mechanism, and whether </w:t>
      </w:r>
      <w:r w:rsidR="002526EE" w:rsidRPr="00956DD3">
        <w:rPr>
          <w:strike/>
        </w:rPr>
        <w:t>fixing rates would increase or decrease instability</w:t>
      </w:r>
      <w:r w:rsidR="00FC6591" w:rsidRPr="00956DD3">
        <w:rPr>
          <w:strike/>
        </w:rPr>
        <w:t>.</w:t>
      </w:r>
    </w:p>
    <w:p w14:paraId="49FEA1D7" w14:textId="3CAA11BB" w:rsidR="009B14E1" w:rsidRDefault="009B14E1" w:rsidP="002F28E1">
      <w:r w:rsidRPr="009B14E1">
        <w:t>Chec</w:t>
      </w:r>
      <w:r>
        <w:t xml:space="preserve">k the autocratic </w:t>
      </w:r>
      <w:r w:rsidR="00B43376">
        <w:t>case as well</w:t>
      </w:r>
    </w:p>
    <w:p w14:paraId="6376FD09" w14:textId="6B002EB8" w:rsidR="00A247DE" w:rsidRDefault="00A247DE" w:rsidP="002F28E1">
      <w:r>
        <w:t>Euro</w:t>
      </w:r>
      <w:r w:rsidR="00B34C54">
        <w:t>- fixed exchange rate</w:t>
      </w:r>
      <w:r w:rsidR="00F1547B">
        <w:t xml:space="preserve"> and independent CB</w:t>
      </w:r>
      <w:bookmarkStart w:id="0" w:name="_GoBack"/>
      <w:bookmarkEnd w:id="0"/>
      <w:r w:rsidR="00B34C54">
        <w:t>, honeymoon period</w:t>
      </w:r>
      <w:r w:rsidR="00BE65A4">
        <w:t xml:space="preserve"> but real exchange rate problems</w:t>
      </w:r>
    </w:p>
    <w:p w14:paraId="76AD112B" w14:textId="0F7544E3" w:rsidR="000566CB" w:rsidRDefault="000566CB" w:rsidP="002F28E1">
      <w:r>
        <w:t>A way to control for numerous explanations</w:t>
      </w:r>
    </w:p>
    <w:p w14:paraId="4EFE3ADD" w14:textId="2B4E9452" w:rsidR="00BE65A4" w:rsidRDefault="006E0CDD" w:rsidP="002F28E1">
      <w:r>
        <w:t>Response to get house in order or go populist</w:t>
      </w:r>
    </w:p>
    <w:p w14:paraId="009CE516" w14:textId="54A36E06" w:rsidR="006E0CDD" w:rsidRDefault="006E0CDD" w:rsidP="002F28E1">
      <w:r>
        <w:t>Grecian</w:t>
      </w:r>
      <w:r w:rsidR="001F37B7">
        <w:t xml:space="preserve"> and European case</w:t>
      </w:r>
    </w:p>
    <w:p w14:paraId="1CC0C981" w14:textId="1705107F" w:rsidR="00661895" w:rsidRDefault="00661895" w:rsidP="002F28E1">
      <w:r>
        <w:t>Different types of elections</w:t>
      </w:r>
      <w:r w:rsidR="00622F4D">
        <w:t xml:space="preserve"> within Europe</w:t>
      </w:r>
      <w:r w:rsidR="008F3146">
        <w:t>- what’s the reason for the turnover</w:t>
      </w:r>
    </w:p>
    <w:p w14:paraId="3856A53D" w14:textId="245C2D17" w:rsidR="00950C64" w:rsidRDefault="00950C64" w:rsidP="002F28E1">
      <w:r>
        <w:t>Populism and varying results</w:t>
      </w:r>
    </w:p>
    <w:p w14:paraId="7F3A8F3D" w14:textId="41AE73FD" w:rsidR="00B908E3" w:rsidRPr="009B14E1" w:rsidRDefault="00B908E3" w:rsidP="002F28E1">
      <w:r>
        <w:t>Some other variation</w:t>
      </w:r>
    </w:p>
    <w:p w14:paraId="6612B923" w14:textId="0A41D2E0" w:rsidR="00B85767" w:rsidRDefault="00B85767" w:rsidP="00293665">
      <w:pPr>
        <w:pStyle w:val="Heading1"/>
      </w:pPr>
      <w:r>
        <w:t>Introduction</w:t>
      </w:r>
    </w:p>
    <w:p w14:paraId="19296D32" w14:textId="5549A9EC" w:rsidR="00754605"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outcomes is </w:t>
      </w:r>
      <w:r w:rsidR="00954DFE">
        <w:t xml:space="preserve">a </w:t>
      </w:r>
      <w:r w:rsidR="006C7F5B">
        <w:t xml:space="preserve">largely intuitive </w:t>
      </w:r>
      <w:r w:rsidR="00B419C3">
        <w:t>one.</w:t>
      </w:r>
      <w:r w:rsidR="0045785A">
        <w:t xml:space="preserve"> </w:t>
      </w:r>
      <w:r w:rsidR="00D07EF0">
        <w:t>The capacity of central banks</w:t>
      </w:r>
      <w:r w:rsidR="002A4F0B">
        <w:t xml:space="preserve">, rather than politicians to </w:t>
      </w:r>
      <w:r w:rsidR="00D07EF0">
        <w:t>steer the economy</w:t>
      </w:r>
      <w:r w:rsidR="00816355">
        <w:t xml:space="preserve"> close to election times</w:t>
      </w:r>
      <w:r w:rsidR="00976966">
        <w:t xml:space="preserve">, for example, has been cited </w:t>
      </w:r>
      <w:r w:rsidR="00816355">
        <w:t xml:space="preserve">as </w:t>
      </w:r>
      <w:r w:rsidR="00DE6B77">
        <w:t xml:space="preserve">a key motivator in political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In other cases, commentators have even made</w:t>
      </w:r>
      <w:r w:rsidR="00501569">
        <w:t xml:space="preserve"> the case for the assertion of central bank independence to explicitly aim for </w:t>
      </w:r>
      <w:r w:rsidR="00824887">
        <w:t>political impact</w:t>
      </w:r>
      <w:r w:rsidR="003942B9">
        <w:t xml:space="preserve">, arguing that </w:t>
      </w:r>
      <w:r w:rsidR="0002545F">
        <w:t xml:space="preserve">optimal long-term economic outcomes </w:t>
      </w:r>
      <w:r w:rsidR="004822A2">
        <w:t>require</w:t>
      </w:r>
      <w:r w:rsidR="008C6BA5">
        <w:t xml:space="preserve"> it</w:t>
      </w:r>
      <w:r w:rsidR="001031D9">
        <w:t xml:space="preserve"> </w:t>
      </w:r>
      <w:r w:rsidR="008C6BA5">
        <w:fldChar w:fldCharType="begin"/>
      </w:r>
      <w:r w:rsidR="001031D9">
        <w:instrText xml:space="preserve"> ADDIN ZOTERO_ITEM CSL_CITATION {"citationID":"FZEjV71D","properties":{"formattedCitation":"(The Federal Reserve\\uc0\\u8217{}s Job Isn\\uc0\\u8217{}t to Help Donald Trump \\uc0\\u8212{} or to Hurt Him - Barron\\uc0\\u8217{}s n.d.)","plainCitation":"(The Federal Reserve’s Job Isn’t to Help Donald Trump — or to Hurt Him - Barron’s n.d.)","noteIndex":0},"citationItems":[{"id":298,"uris":["http://zotero.org/users/5939705/items/QDIJLWKY"],"uri":["http://zotero.org/users/5939705/items/QDIJLWKY"],"itemData":{"id":298,"type":"webpage","title":"The Federal Reserve’s Job Isn’t to Help Donald Trump — or to Hurt Him - Barron's","URL":"https://www.barrons.com/articles/donald-trump-federal-reserve-trade-war-51566950641","accessed":{"date-parts":[["2020",1,8]]}}}],"schema":"https://github.com/citation-style-language/schema/raw/master/csl-citation.json"} </w:instrText>
      </w:r>
      <w:r w:rsidR="008C6BA5">
        <w:fldChar w:fldCharType="separate"/>
      </w:r>
      <w:r w:rsidR="001031D9" w:rsidRPr="001031D9">
        <w:rPr>
          <w:rFonts w:ascii="Calibri" w:hAnsi="Calibri" w:cs="Calibri"/>
          <w:szCs w:val="24"/>
        </w:rPr>
        <w:t>(The Federal Reserve’s Job Isn’t to Help Donald Trump — or to Hurt Him - Barron’s n.d.)</w:t>
      </w:r>
      <w:r w:rsidR="008C6BA5">
        <w:fldChar w:fldCharType="end"/>
      </w:r>
      <w:r w:rsidR="001031D9">
        <w:t>.</w:t>
      </w:r>
    </w:p>
    <w:p w14:paraId="01F2DF72" w14:textId="140F4AB5" w:rsidR="00B813E4" w:rsidRDefault="0054639E" w:rsidP="002F28E1">
      <w:r>
        <w:t xml:space="preserve">Current events also provide a sense of </w:t>
      </w:r>
      <w:r w:rsidR="008C740B">
        <w:t>another key issue covered in th</w:t>
      </w:r>
      <w:r w:rsidR="00BB557B">
        <w:t>is</w:t>
      </w:r>
      <w:r w:rsidR="008C740B">
        <w:t xml:space="preserve"> paper</w:t>
      </w:r>
      <w:r w:rsidR="00BF0085">
        <w:t xml:space="preserve">: any potential interventions in actual </w:t>
      </w:r>
      <w:r w:rsidR="00D66942">
        <w:t>central bank independence may be electorally motivated, or made in the interests of maintaining political stability</w:t>
      </w:r>
      <w:r w:rsidR="00157684">
        <w:t xml:space="preserve">, a critical </w:t>
      </w:r>
      <w:r w:rsidR="00F221FB">
        <w:t>reverse causality</w:t>
      </w:r>
      <w:r w:rsidR="00157684">
        <w:t xml:space="preserve"> issue</w:t>
      </w:r>
      <w:r w:rsidR="00D66942">
        <w:t>.</w:t>
      </w:r>
      <w:r w:rsidR="00652115">
        <w:t xml:space="preserve"> D</w:t>
      </w:r>
      <w:r w:rsidR="00CD62E6">
        <w:t>e facto central bank independence</w:t>
      </w:r>
      <w:r w:rsidR="0054205E">
        <w:t xml:space="preserve"> </w:t>
      </w:r>
      <w:r w:rsidR="009D2485">
        <w:t>may</w:t>
      </w:r>
      <w:r w:rsidR="00CD62E6">
        <w:t xml:space="preserve"> be eroded</w:t>
      </w:r>
      <w:r w:rsidR="00FE1727">
        <w:t>.</w:t>
      </w:r>
      <w:r w:rsidR="00C76F2D">
        <w:t xml:space="preserve"> Politicians may threaten to </w:t>
      </w:r>
      <w:r w:rsidR="001905D8">
        <w:t>remove central bank officials from office</w:t>
      </w:r>
      <w:r w:rsidR="00012955">
        <w:t>: President Trump</w:t>
      </w:r>
      <w:r w:rsidR="00320EF3">
        <w:t xml:space="preserve"> </w:t>
      </w:r>
      <w:r w:rsidR="00BB42F2">
        <w:t xml:space="preserve">considered legal options to </w:t>
      </w:r>
      <w:r w:rsidR="00106027">
        <w:t xml:space="preserve">remove </w:t>
      </w:r>
      <w:r w:rsidR="00C855BC">
        <w:t>Cha</w:t>
      </w:r>
      <w:r w:rsidR="00320EF3">
        <w:t>i</w:t>
      </w:r>
      <w:r w:rsidR="00C855BC">
        <w:t xml:space="preserve">rman </w:t>
      </w:r>
      <w:r w:rsidR="00320EF3">
        <w:t>Powell</w:t>
      </w:r>
      <w:r w:rsidR="00837DB8">
        <w:t xml:space="preserve"> </w:t>
      </w:r>
      <w:r w:rsidR="002A51B7">
        <w:fldChar w:fldCharType="begin"/>
      </w:r>
      <w:r w:rsidR="00837DB8">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fldChar w:fldCharType="separate"/>
      </w:r>
      <w:r w:rsidR="00837DB8" w:rsidRPr="00837DB8">
        <w:rPr>
          <w:rFonts w:ascii="Calibri" w:hAnsi="Calibri" w:cs="Calibri"/>
        </w:rPr>
        <w:t>(Can Trump Fire Fed Chair Jerome Powell? n.d.)</w:t>
      </w:r>
      <w:r w:rsidR="002A51B7">
        <w:fldChar w:fldCharType="end"/>
      </w:r>
      <w:r w:rsidR="00837DB8">
        <w:t>.</w:t>
      </w:r>
      <w:r w:rsidR="000B188C">
        <w:t xml:space="preserve"> In the past</w:t>
      </w:r>
      <w:r w:rsidR="00DB1ECA">
        <w:t xml:space="preserve">, such erosions of independence may </w:t>
      </w:r>
      <w:r w:rsidR="00AB219B">
        <w:t>have been successful and influential in creating low interest rate and high inflation environments in the Johnson and Nixon administrations</w:t>
      </w:r>
      <w:r w:rsidR="00E766F8">
        <w:t xml:space="preserve"> </w:t>
      </w:r>
      <w:r w:rsidR="00AB219B">
        <w:lastRenderedPageBreak/>
        <w:fldChar w:fldCharType="begin"/>
      </w:r>
      <w:r w:rsidR="001B3D6A">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fldChar w:fldCharType="separate"/>
      </w:r>
      <w:r w:rsidR="001B3D6A" w:rsidRPr="001B3D6A">
        <w:rPr>
          <w:rFonts w:ascii="Calibri" w:hAnsi="Calibri" w:cs="Calibri"/>
          <w:szCs w:val="24"/>
        </w:rPr>
        <w:t>(Trump is attacking the Federal Reserve. This explains why — and what comes next. - The Washington Post n.d.)</w:t>
      </w:r>
      <w:r w:rsidR="00AB219B">
        <w:fldChar w:fldCharType="end"/>
      </w:r>
      <w:r w:rsidR="00E766F8">
        <w:t>.</w:t>
      </w:r>
    </w:p>
    <w:p w14:paraId="094BC452" w14:textId="13BE67A8" w:rsidR="00263D9D" w:rsidRDefault="00064994" w:rsidP="002F28E1">
      <w:r>
        <w:t xml:space="preserve">On the other hand, </w:t>
      </w:r>
      <w:r w:rsidRPr="004D01D3">
        <w:t xml:space="preserve">central bank independence need not be the only </w:t>
      </w:r>
      <w:r w:rsidR="003C40FE" w:rsidRPr="004D01D3">
        <w:t xml:space="preserve">economic constraint that matters for political outcomes. </w:t>
      </w:r>
      <w:r w:rsidR="0085660E" w:rsidRPr="004D01D3">
        <w:t>F</w:t>
      </w:r>
      <w:r w:rsidR="00C53701" w:rsidRPr="004D01D3">
        <w:t>ixed exchange rate</w:t>
      </w:r>
      <w:r w:rsidR="00AA008C" w:rsidRPr="004D01D3">
        <w:t xml:space="preserve"> regimes</w:t>
      </w:r>
      <w:r w:rsidR="00C53701" w:rsidRPr="004D01D3">
        <w:t xml:space="preserve"> should also provide</w:t>
      </w:r>
      <w:r w:rsidR="00671C40" w:rsidRPr="004D01D3">
        <w:t xml:space="preserve"> the same mechanism of </w:t>
      </w:r>
      <w:r w:rsidR="00197792" w:rsidRPr="004D01D3">
        <w:t>economic policy “hand-tying” to politicians</w:t>
      </w:r>
      <w:r w:rsidR="004D01D3">
        <w:t>, with the outsourcing of monetary policy</w:t>
      </w:r>
      <w:r w:rsidR="00D81CF5">
        <w:t>, often for inflation credibility</w:t>
      </w:r>
      <w:r w:rsidR="00197792" w:rsidRPr="004D01D3">
        <w:t>.</w:t>
      </w:r>
      <w:r w:rsidR="006923BA">
        <w:t xml:space="preserve"> Previous work has widely documented the </w:t>
      </w:r>
      <w:r w:rsidR="008B6F5F">
        <w:t>importance of considering these institutions jointly</w:t>
      </w:r>
      <w:r w:rsidR="00F04AAF">
        <w:t xml:space="preserve"> </w:t>
      </w:r>
      <w:r w:rsidR="00C0274B">
        <w:fldChar w:fldCharType="begin"/>
      </w:r>
      <w:r w:rsidR="00F04AAF">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C0274B">
        <w:fldChar w:fldCharType="separate"/>
      </w:r>
      <w:r w:rsidR="00F04AAF" w:rsidRPr="00F04AAF">
        <w:rPr>
          <w:rFonts w:ascii="Calibri" w:hAnsi="Calibri" w:cs="Calibri"/>
        </w:rPr>
        <w:t>(Bernhard, Broz, and Clark 2002)</w:t>
      </w:r>
      <w:r w:rsidR="00C0274B">
        <w:fldChar w:fldCharType="end"/>
      </w:r>
      <w:r w:rsidR="008B6F5F">
        <w:t>.</w:t>
      </w:r>
      <w:r w:rsidR="00CF3497">
        <w:t xml:space="preserve"> Simple correlation suggests they are neither complements or substitutes</w:t>
      </w:r>
      <w:r w:rsidR="008C6E6B">
        <w:t>, but other work has suggested that a lac</w:t>
      </w:r>
      <w:r w:rsidR="00512DC3">
        <w:t>k of credibility</w:t>
      </w:r>
      <w:r w:rsidR="003D63FF">
        <w:t xml:space="preserve"> for central banking</w:t>
      </w:r>
      <w:r w:rsidR="0053595C">
        <w:t xml:space="preserve"> in autocracy makes fixed rates</w:t>
      </w:r>
      <w:r w:rsidR="003D63FF">
        <w:t xml:space="preserve"> the preferred option</w:t>
      </w:r>
      <w:r w:rsidR="00086E7C">
        <w:t xml:space="preserve"> </w:t>
      </w:r>
      <w:r w:rsidR="004730B9">
        <w:fldChar w:fldCharType="begin"/>
      </w:r>
      <w:r w:rsidR="00086E7C">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4730B9">
        <w:fldChar w:fldCharType="separate"/>
      </w:r>
      <w:r w:rsidR="00086E7C" w:rsidRPr="00086E7C">
        <w:rPr>
          <w:rFonts w:ascii="Calibri" w:hAnsi="Calibri" w:cs="Calibri"/>
        </w:rPr>
        <w:t>(Broz 2002)</w:t>
      </w:r>
      <w:r w:rsidR="004730B9">
        <w:fldChar w:fldCharType="end"/>
      </w:r>
      <w:r w:rsidR="003D63FF">
        <w:t>.</w:t>
      </w:r>
    </w:p>
    <w:p w14:paraId="58BFB11C" w14:textId="63334037" w:rsidR="00020D4D" w:rsidRDefault="00192AE2" w:rsidP="002F28E1">
      <w:r>
        <w:t xml:space="preserve">We thus </w:t>
      </w:r>
      <w:r w:rsidR="001C2030">
        <w:t xml:space="preserve">might </w:t>
      </w:r>
      <w:r>
        <w:t>expect to find similar stories of fixed exchange rates affecting</w:t>
      </w:r>
      <w:r w:rsidR="006B3FF5">
        <w:t xml:space="preserve"> political and electoral stability: this is indeed the case.</w:t>
      </w:r>
      <w:r w:rsidR="005D087B">
        <w:t xml:space="preserve"> For example, i</w:t>
      </w:r>
      <w:r w:rsidR="00932F1D">
        <w:t>n Lebanon,</w:t>
      </w:r>
      <w:r w:rsidR="00266323">
        <w:t xml:space="preserve"> a fixed rate is considered to have led to excessive capital inflows</w:t>
      </w:r>
      <w:r w:rsidR="00EE22A6">
        <w:t xml:space="preserve"> and a financial crisis</w:t>
      </w:r>
      <w:r w:rsidR="00932F1D">
        <w:t xml:space="preserve"> </w:t>
      </w:r>
      <w:r w:rsidR="00EE22A6">
        <w:t>which has contributed to increasing political unrest</w:t>
      </w:r>
      <w:r w:rsidR="005D087B">
        <w:t xml:space="preserve"> and reform pressures</w:t>
      </w:r>
      <w:r w:rsidR="00EE22A6">
        <w:t xml:space="preserve"> in the country </w:t>
      </w:r>
      <w:r w:rsidR="00F6764A">
        <w:fldChar w:fldCharType="begin"/>
      </w:r>
      <w:r w:rsidR="0033300B">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F6764A">
        <w:fldChar w:fldCharType="separate"/>
      </w:r>
      <w:r w:rsidR="0033300B" w:rsidRPr="0033300B">
        <w:rPr>
          <w:rFonts w:ascii="Calibri" w:hAnsi="Calibri" w:cs="Calibri"/>
        </w:rPr>
        <w:t>(Diwan 2020)</w:t>
      </w:r>
      <w:r w:rsidR="00F6764A">
        <w:fldChar w:fldCharType="end"/>
      </w:r>
      <w:r w:rsidR="00EE22A6">
        <w:t>.</w:t>
      </w:r>
      <w:r w:rsidR="00CB11AE">
        <w:t xml:space="preserve"> </w:t>
      </w:r>
      <w:r w:rsidR="00C06318">
        <w:t xml:space="preserve">As an opposite mechanism, it </w:t>
      </w:r>
      <w:r w:rsidR="00CB11AE">
        <w:t>is possible that responsible management of</w:t>
      </w:r>
      <w:r w:rsidR="00360707">
        <w:t xml:space="preserve"> fiscal</w:t>
      </w:r>
      <w:r w:rsidR="00CB11AE">
        <w:t xml:space="preserve"> policy </w:t>
      </w:r>
      <w:r w:rsidR="00360707">
        <w:t xml:space="preserve">in particular </w:t>
      </w:r>
      <w:r w:rsidR="00CB11AE">
        <w:t xml:space="preserve">with </w:t>
      </w:r>
      <w:r w:rsidR="00C06318">
        <w:t>a fixed rate might</w:t>
      </w:r>
      <w:r w:rsidR="005B7F74">
        <w:t xml:space="preserve"> reduce instability</w:t>
      </w:r>
      <w:r w:rsidR="00B276BA">
        <w:t>, as access to foreign capital increases</w:t>
      </w:r>
      <w:r w:rsidR="00ED40F6">
        <w:t>.</w:t>
      </w:r>
    </w:p>
    <w:p w14:paraId="5577EDD5" w14:textId="71F9CB11" w:rsidR="002706F1" w:rsidRDefault="00C64E90" w:rsidP="002F28E1">
      <w:r>
        <w:t>At any rate, in</w:t>
      </w:r>
      <w:r w:rsidR="00F11DEE">
        <w:t xml:space="preserve"> this research design I take a reduced form approach to </w:t>
      </w:r>
      <w:r w:rsidR="00F84A9A">
        <w:t xml:space="preserve">check whether such mechanisms </w:t>
      </w:r>
      <w:r w:rsidR="00135F1C">
        <w:t xml:space="preserve">as central bank independence and fixed exchange rates </w:t>
      </w:r>
      <w:r w:rsidR="00860782">
        <w:t>affect</w:t>
      </w:r>
      <w:r w:rsidR="00F11DEE">
        <w:t xml:space="preserve"> electoral and political instability</w:t>
      </w:r>
      <w:r w:rsidR="00DE0673">
        <w:t xml:space="preserve"> across a wide </w:t>
      </w:r>
      <w:r w:rsidR="00580B25">
        <w:t>time period and range of countries</w:t>
      </w:r>
      <w:r w:rsidR="00F11DEE">
        <w:t xml:space="preserve">. </w:t>
      </w:r>
      <w:r w:rsidR="00375EFD">
        <w:t>This provides insight into choice among social welfarist, political business cycle, and economic voting theories, which provide for a wide range of competing mechanisms.</w:t>
      </w:r>
      <w:r w:rsidR="00B02BE4">
        <w:t xml:space="preserve"> </w:t>
      </w:r>
      <w:r w:rsidR="00F11DEE">
        <w:t xml:space="preserve">I also take care to address </w:t>
      </w:r>
      <w:r w:rsidR="00135F1C">
        <w:t>the</w:t>
      </w:r>
      <w:r w:rsidR="00650DAA">
        <w:t xml:space="preserve"> </w:t>
      </w:r>
      <w:r w:rsidR="00F11DEE">
        <w:t>issues of potential endogeneity not covered in previous work, using panel data and instrumental variables techniques over a wide range of countries from 1970-2012.</w:t>
      </w:r>
    </w:p>
    <w:p w14:paraId="7ACA3215" w14:textId="16648533" w:rsidR="00C53701" w:rsidRDefault="0021672B" w:rsidP="00043B4B">
      <w:pPr>
        <w:pStyle w:val="Heading1"/>
      </w:pPr>
      <w:r>
        <w:t>Theory</w:t>
      </w:r>
    </w:p>
    <w:p w14:paraId="4732706E" w14:textId="6710D438"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fldChar w:fldCharType="begin"/>
      </w:r>
      <w:r w:rsidR="00F04AAF">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fldChar w:fldCharType="separate"/>
      </w:r>
      <w:r w:rsidR="00834825" w:rsidRPr="00834825">
        <w:rPr>
          <w:rFonts w:ascii="Calibri" w:hAnsi="Calibri" w:cs="Calibri"/>
        </w:rPr>
        <w:t>(</w:t>
      </w:r>
      <w:r w:rsidR="001D632A">
        <w:rPr>
          <w:rFonts w:ascii="Calibri" w:hAnsi="Calibri" w:cs="Calibri"/>
        </w:rPr>
        <w:t>some sense</w:t>
      </w:r>
      <w:r w:rsidR="005C23E2">
        <w:rPr>
          <w:rFonts w:ascii="Calibri" w:hAnsi="Calibri" w:cs="Calibri"/>
        </w:rPr>
        <w:t xml:space="preserve"> of this division for central banks can be found in </w:t>
      </w:r>
      <w:r w:rsidR="00834825" w:rsidRPr="00834825">
        <w:rPr>
          <w:rFonts w:ascii="Calibri" w:hAnsi="Calibri" w:cs="Calibri"/>
        </w:rPr>
        <w:t>Alesina, Roubini, and Cohen 1997</w:t>
      </w:r>
      <w:r w:rsidR="00834825">
        <w:rPr>
          <w:rFonts w:ascii="Calibri" w:hAnsi="Calibri" w:cs="Calibri"/>
        </w:rPr>
        <w:t>, p. 212</w:t>
      </w:r>
      <w:r w:rsidR="00834825" w:rsidRPr="00834825">
        <w:rPr>
          <w:rFonts w:ascii="Calibri" w:hAnsi="Calibri" w:cs="Calibri"/>
        </w:rPr>
        <w:t>)</w:t>
      </w:r>
      <w:r w:rsidR="00342340">
        <w:fldChar w:fldCharType="end"/>
      </w:r>
      <w:r w:rsidR="0021672B">
        <w:t>.</w:t>
      </w:r>
      <w:r w:rsidR="00260233">
        <w:t xml:space="preserve"> </w:t>
      </w:r>
      <w:r w:rsidR="00A86DD0">
        <w:t xml:space="preserve">In </w:t>
      </w:r>
      <w:r w:rsidR="001D520B">
        <w:t>both</w:t>
      </w:r>
      <w:r w:rsidR="00A86DD0">
        <w:t xml:space="preserve"> strands, politicians are </w:t>
      </w:r>
      <w:r w:rsidR="005B0C6C">
        <w:t>seek to stay in office for</w:t>
      </w:r>
      <w:r w:rsidR="00E560CF">
        <w:t xml:space="preserve"> directly</w:t>
      </w:r>
      <w:r w:rsidR="005B0C6C">
        <w:t xml:space="preserve"> </w:t>
      </w:r>
      <w:r w:rsidR="0064163D">
        <w:t>opportunistic or partisan motives</w:t>
      </w:r>
      <w:r w:rsidR="00A86DD0">
        <w:t xml:space="preserve">. </w:t>
      </w:r>
      <w:r w:rsidR="00C66B4C">
        <w:t>As will become clear, however, in one strand the</w:t>
      </w:r>
      <w:r w:rsidR="001D520B">
        <w:t xml:space="preserve">ir </w:t>
      </w:r>
      <w:r w:rsidR="00E467DC">
        <w:t>electoral</w:t>
      </w:r>
      <w:r w:rsidR="001D520B">
        <w:t xml:space="preserve"> incentive</w:t>
      </w:r>
      <w:r w:rsidR="00C16376">
        <w:t xml:space="preserve"> usually</w:t>
      </w:r>
      <w:r w:rsidR="001D520B">
        <w:t xml:space="preserve"> </w:t>
      </w:r>
      <w:r w:rsidR="0002353E">
        <w:t xml:space="preserve">is aligned with </w:t>
      </w:r>
      <w:r w:rsidR="0046548F">
        <w:t xml:space="preserve">the general </w:t>
      </w:r>
      <w:r w:rsidR="00153057">
        <w:t xml:space="preserve">or long-term </w:t>
      </w:r>
      <w:r w:rsidR="0046548F">
        <w:t>welfare interests of the population</w:t>
      </w:r>
      <w:r w:rsidR="004F1F1D">
        <w:t>, as adopting limiting institutions</w:t>
      </w:r>
      <w:r w:rsidR="00070FC8">
        <w:t xml:space="preserve"> usually</w:t>
      </w:r>
      <w:r w:rsidR="004F1F1D">
        <w:t xml:space="preserve"> provide key benefits</w:t>
      </w:r>
      <w:r w:rsidR="00057B5B">
        <w:t>.</w:t>
      </w:r>
      <w:r w:rsidR="008707A0">
        <w:t xml:space="preserve"> </w:t>
      </w:r>
      <w:r w:rsidR="00057B5B">
        <w:t>I</w:t>
      </w:r>
      <w:r w:rsidR="0046548F">
        <w:t xml:space="preserve">n the other </w:t>
      </w:r>
      <w:r w:rsidR="00057B5B">
        <w:t>strand</w:t>
      </w:r>
      <w:r w:rsidR="002E7790">
        <w:t>, however, interests are not aligned:</w:t>
      </w:r>
      <w:r w:rsidR="00436405">
        <w:t xml:space="preserve"> </w:t>
      </w:r>
      <w:r w:rsidR="003476CB">
        <w:t>limiting regimes</w:t>
      </w:r>
      <w:r w:rsidR="006C5F06">
        <w:t xml:space="preserve"> </w:t>
      </w:r>
      <w:r w:rsidR="002E7790">
        <w:t xml:space="preserve">usually </w:t>
      </w:r>
      <w:r w:rsidR="003476CB">
        <w:t xml:space="preserve">prevent </w:t>
      </w:r>
      <w:r w:rsidR="00767CC1">
        <w:t xml:space="preserve">political business cycle </w:t>
      </w:r>
      <w:r w:rsidR="00C725AB">
        <w:t>manipulations</w:t>
      </w:r>
      <w:r w:rsidR="005567A7">
        <w:t xml:space="preserve"> of voters</w:t>
      </w:r>
      <w:r w:rsidR="00FA4738">
        <w:t>.</w:t>
      </w:r>
      <w:r w:rsidR="005567A7">
        <w:t xml:space="preserve"> </w:t>
      </w:r>
      <w:r w:rsidR="00346E46">
        <w:t xml:space="preserve">Mechanisms from both strands are then translated into electoral outcomes of increased or decreased stability </w:t>
      </w:r>
      <w:r w:rsidR="00A80513">
        <w:t xml:space="preserve">though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A3F3A00"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54499276"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bank</w:t>
      </w:r>
      <w:r w:rsidR="00952211">
        <w:t>er</w:t>
      </w:r>
      <w:r w:rsidR="00083916">
        <w:t xml:space="preserve"> can </w:t>
      </w:r>
      <w:r w:rsidR="00E15A71">
        <w:t>improve welfare</w:t>
      </w:r>
      <w:r w:rsidR="00433473">
        <w:t xml:space="preserve"> </w:t>
      </w:r>
      <w:r w:rsidR="00B0340B">
        <w:t xml:space="preserve">by controlling expectations of inflation </w:t>
      </w:r>
      <w:r w:rsidR="00433473" w:rsidRPr="00433473">
        <w:rPr>
          <w:rFonts w:ascii="Calibri" w:hAnsi="Calibri" w:cs="Calibri"/>
        </w:rPr>
        <w:t xml:space="preserve">(Rogoff </w:t>
      </w:r>
      <w:r w:rsidR="00433473" w:rsidRPr="00433473">
        <w:rPr>
          <w:rFonts w:ascii="Calibri" w:hAnsi="Calibri" w:cs="Calibri"/>
        </w:rPr>
        <w:lastRenderedPageBreak/>
        <w:t>1985)</w:t>
      </w:r>
      <w:r w:rsidR="00B0340B">
        <w:t>.</w:t>
      </w:r>
      <w:r w:rsidR="009300BF">
        <w:t xml:space="preserve"> </w:t>
      </w:r>
      <w:r w:rsidR="007506EC">
        <w:t>A</w:t>
      </w:r>
      <w:r w:rsidR="00074FC8">
        <w:t>long with a similar time-inconsistency inflation benefit</w:t>
      </w:r>
      <w:r w:rsidR="00790BEE">
        <w:t xml:space="preserve"> in reducing inflation, 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578425B6" w:rsidR="00BF024F" w:rsidRDefault="00E463DF" w:rsidP="002F28E1">
      <w:r>
        <w:t>There may also be political benefits 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instruments such as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p>
    <w:p w14:paraId="2921C454" w14:textId="0A8318AC" w:rsidR="0088178D"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ere should not be problems unless</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495FEE">
        <w:t>.</w:t>
      </w:r>
      <w:r w:rsidR="000B5364">
        <w:t xml:space="preserve"> </w:t>
      </w:r>
      <w:r w:rsidR="001778CD">
        <w:t xml:space="preserve">But a </w:t>
      </w:r>
      <w:r w:rsidR="0088178D">
        <w:t xml:space="preserve">problem </w:t>
      </w:r>
      <w:r w:rsidR="001778CD">
        <w:t xml:space="preserve">from the loss of flexibility </w:t>
      </w:r>
      <w:r w:rsidR="0088178D">
        <w:t xml:space="preserve">is clear for regimes of fixed exchange rates. A fixed exchange rate (unless maintained by capital controls) precludes the free exercise of monetary </w:t>
      </w:r>
      <w:r w:rsidR="003722F4">
        <w:t xml:space="preserve">and potentially fiscal </w:t>
      </w:r>
      <w:r w:rsidR="0088178D">
        <w:t xml:space="preserve">policy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722F4">
        <w:t>P</w:t>
      </w:r>
      <w:r w:rsidR="00B86CF9">
        <w:t xml:space="preserve">olicy is tied to </w:t>
      </w:r>
      <w:r w:rsidR="00A82AB7">
        <w:t xml:space="preserve">that of </w:t>
      </w:r>
      <w:r w:rsidR="00B86CF9">
        <w:t>other nations</w:t>
      </w:r>
      <w:r w:rsidR="00A82AB7">
        <w:t>, which may not be experiencing a recession</w:t>
      </w:r>
      <w:r w:rsidR="00AB4004">
        <w:t>.</w:t>
      </w:r>
    </w:p>
    <w:p w14:paraId="2AAC9AFB" w14:textId="451D38B2" w:rsidR="00DC0C78" w:rsidRPr="000F7809" w:rsidRDefault="00312B2D" w:rsidP="00421CAB">
      <w:r w:rsidRPr="00312B2D">
        <w:t>Overall, n</w:t>
      </w:r>
      <w:r w:rsidR="00C238B4" w:rsidRPr="00312B2D">
        <w:t>et social benefits appear to outweigh the costs for limiting</w:t>
      </w:r>
      <w:r>
        <w:t xml:space="preserve"> regimes.</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welfare drawbacks </w:t>
      </w:r>
      <w:r w:rsidR="005C4973">
        <w:t>for central bank independence are especially ra</w:t>
      </w:r>
      <w:r w:rsidR="00B735AB">
        <w:t>r</w:t>
      </w:r>
      <w:r w:rsidR="005C4973">
        <w:t xml:space="preserve">e, </w:t>
      </w:r>
      <w:r w:rsidR="00C2532D">
        <w:t xml:space="preserve">excepting the adoption of </w:t>
      </w:r>
      <w:r w:rsidR="00CA626C">
        <w:t xml:space="preserve">a need for democratic oversight of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p>
    <w:p w14:paraId="3ED9CBB0" w14:textId="42B2C80A" w:rsidR="00972538" w:rsidRDefault="006157C7" w:rsidP="0088178D">
      <w:pPr>
        <w:pStyle w:val="Heading2"/>
      </w:pPr>
      <w:r>
        <w:t>Political Business Cycle Effects</w:t>
      </w:r>
      <w:r w:rsidR="00794666">
        <w:t xml:space="preserve"> of Limiting Institutions</w:t>
      </w:r>
    </w:p>
    <w:p w14:paraId="20FD0A62" w14:textId="21860452" w:rsidR="00FC7DA6" w:rsidRPr="006027AA" w:rsidRDefault="00955441" w:rsidP="00FC7DA6">
      <w:r>
        <w:t xml:space="preserve">The main driver of the </w:t>
      </w:r>
      <w:r w:rsidR="00112DB6">
        <w:t xml:space="preserve">second strand </w:t>
      </w:r>
      <w:r>
        <w:t xml:space="preserve">is the idea of a political business cycle: that the </w:t>
      </w:r>
      <w:r w:rsidR="008B67E7">
        <w:t xml:space="preserve">political </w:t>
      </w:r>
      <w:r w:rsidR="00A258FA">
        <w:t>value of</w:t>
      </w:r>
      <w:r>
        <w:t xml:space="preserve"> the ability to manipulate the economy in the short run </w:t>
      </w:r>
      <w:r w:rsidR="00164920">
        <w:t>is</w:t>
      </w:r>
      <w:r>
        <w:t xml:space="preserve"> high.</w:t>
      </w:r>
      <w:r w:rsidR="001622AD">
        <w:t xml:space="preserve"> Political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99A82A8" w14:textId="16B4094B" w:rsidR="00231053" w:rsidRPr="00CA3980" w:rsidRDefault="00CF141B" w:rsidP="002F28E1">
      <w:r>
        <w:t xml:space="preserve">In </w:t>
      </w:r>
      <w:r w:rsidR="00FD1275">
        <w:t>the traditional o</w:t>
      </w:r>
      <w:r>
        <w:t>pportunistic business cycle</w:t>
      </w:r>
      <w:r w:rsidR="00FD1275">
        <w:t xml:space="preserve"> model,</w:t>
      </w:r>
      <w:r w:rsidR="00650597">
        <w:t xml:space="preserve"> office-motivated</w:t>
      </w:r>
      <w:r w:rsidR="00B3498F">
        <w:t xml:space="preserve"> incumbents are able to grow </w:t>
      </w:r>
      <w:r w:rsidR="00650597">
        <w:t>output prior to elections</w:t>
      </w:r>
      <w:r w:rsidR="008E08FD">
        <w:t xml:space="preserve">, while inflationary pressures take some time to </w:t>
      </w:r>
      <w:r w:rsidR="00474AE0">
        <w:t>come into effect</w:t>
      </w:r>
      <w:r w:rsidR="00C749AB">
        <w:t>, pleas</w:t>
      </w:r>
      <w:r w:rsidR="00201E9B">
        <w:t>ing voters.</w:t>
      </w:r>
      <w:r w:rsidR="00474AE0">
        <w:t xml:space="preserve"> </w:t>
      </w:r>
      <w:r w:rsidR="00C749AB">
        <w:t>After elections, contractionary</w:t>
      </w:r>
      <w:r w:rsidR="00201E9B">
        <w:t xml:space="preserve"> measures can be used to reduce inflation</w:t>
      </w:r>
      <w:r w:rsidR="007F1DA9">
        <w:t xml:space="preserve"> and prepare the economy for another manipulation. </w:t>
      </w:r>
      <w:r w:rsidR="001A430E">
        <w:t>If voters are instead assumed to be rational</w:t>
      </w:r>
      <w:r w:rsidR="00CA3980">
        <w:t xml:space="preserve">, </w:t>
      </w:r>
      <w:r w:rsidR="00D61D15">
        <w:t xml:space="preserve">competent </w:t>
      </w:r>
      <w:r w:rsidR="00D61D15">
        <w:lastRenderedPageBreak/>
        <w:t xml:space="preserve">policymakers </w:t>
      </w:r>
      <w:r w:rsidR="002F35E5">
        <w:t>may aim to reveal their types</w:t>
      </w:r>
      <w:r w:rsidR="00E75527">
        <w:t xml:space="preserve"> by manipulating the economy to otherwise impossible levels.</w:t>
      </w:r>
      <w:r w:rsidR="007C367B">
        <w:t xml:space="preserve"> This</w:t>
      </w:r>
      <w:r w:rsidR="00973295">
        <w:t xml:space="preserve"> again may provide an incumbency advantage</w:t>
      </w:r>
      <w:r w:rsidR="00657925">
        <w:t xml:space="preserve"> for at least the competent.</w:t>
      </w:r>
    </w:p>
    <w:p w14:paraId="3E430B4B" w14:textId="17099B62" w:rsidR="00F26AB2" w:rsidRDefault="00C53A21" w:rsidP="00F26AB2">
      <w:r>
        <w:t>In partisan business cycle models</w:t>
      </w:r>
      <w:r w:rsidR="00067A9B">
        <w:t>, each party has a different agenda to satisfy</w:t>
      </w:r>
      <w:r w:rsidR="00845723">
        <w:t>, which is in turn key to winning an election</w:t>
      </w:r>
      <w:r w:rsidR="00067A9B">
        <w:t>.</w:t>
      </w:r>
      <w:r w:rsidR="00B52A76">
        <w:t xml:space="preserve"> </w:t>
      </w:r>
      <w:r w:rsidR="00F26AB2">
        <w:t xml:space="preserve">In the traditional </w:t>
      </w:r>
      <w:r w:rsidR="00B52A76">
        <w:t>partisan model</w:t>
      </w:r>
      <w:r w:rsidR="00584922">
        <w:t>,</w:t>
      </w:r>
      <w:r w:rsidR="00F26AB2">
        <w:t xml:space="preserve"> the left</w:t>
      </w:r>
      <w:r w:rsidR="00584922">
        <w:t>,</w:t>
      </w:r>
      <w:r w:rsidR="00F26AB2">
        <w:t xml:space="preserve"> backed </w:t>
      </w:r>
      <w:r w:rsidR="00584922">
        <w:t>the</w:t>
      </w:r>
      <w:r w:rsidR="00F26AB2">
        <w:t xml:space="preserve"> working class prefers higher inflation and growth (low unemployment) and the right</w:t>
      </w:r>
      <w:r w:rsidR="00677B1D">
        <w:t>,</w:t>
      </w:r>
      <w:r w:rsidR="00F26AB2">
        <w:t xml:space="preserve"> backed by business</w:t>
      </w:r>
      <w:r w:rsidR="00677B1D">
        <w:t>, prefers</w:t>
      </w:r>
      <w:r w:rsidR="00F26AB2">
        <w:t xml:space="preserve"> low inflati</w:t>
      </w:r>
      <w:r w:rsidR="00677B1D">
        <w:t xml:space="preserve">on for </w:t>
      </w:r>
      <w:r w:rsidR="00F26AB2">
        <w:t>reasons such as indexation of tax brackets</w:t>
      </w:r>
      <w:r w:rsidR="00677B1D">
        <w:t>.</w:t>
      </w:r>
      <w:r w:rsidR="00D70893">
        <w:t xml:space="preserve"> </w:t>
      </w:r>
      <w:r w:rsidR="00D812A8">
        <w:t xml:space="preserve">The </w:t>
      </w:r>
      <w:r w:rsidR="00C1659A">
        <w:t>short run P</w:t>
      </w:r>
      <w:r w:rsidR="00F26AB2">
        <w:t xml:space="preserve">hillips </w:t>
      </w:r>
      <w:r w:rsidR="00C1659A">
        <w:t>curve allows each</w:t>
      </w:r>
      <w:r w:rsidR="00F26AB2">
        <w:t xml:space="preserve"> party </w:t>
      </w:r>
      <w:r w:rsidR="00C1659A">
        <w:t>to keep</w:t>
      </w:r>
      <w:r w:rsidR="00F26AB2">
        <w:t xml:space="preserve"> inflation and unemployment towards its </w:t>
      </w:r>
      <w:r w:rsidR="00C1659A">
        <w:t>optimum.</w:t>
      </w:r>
    </w:p>
    <w:p w14:paraId="2774B7FE" w14:textId="05654718" w:rsidR="002E72B3" w:rsidRPr="00A65E2F" w:rsidRDefault="00382C00" w:rsidP="00FC7DA6">
      <w:pPr>
        <w:rPr>
          <w:strike/>
        </w:rPr>
      </w:pPr>
      <w:r>
        <w:t>In the</w:t>
      </w:r>
      <w:r w:rsidR="00F26AB2">
        <w:t xml:space="preserve"> rational partisan model</w:t>
      </w:r>
      <w:r>
        <w:t xml:space="preserve">, in contrast, </w:t>
      </w:r>
      <w:r w:rsidR="00D37163">
        <w:t>expectations for inflation and probabilities of victory for both parties matter.</w:t>
      </w:r>
      <w:r w:rsidR="005B3C3C">
        <w:t xml:space="preserve"> At the beginning of a party’s term in power, g</w:t>
      </w:r>
      <w:r w:rsidR="00F26AB2">
        <w:t xml:space="preserve">rowth temporarily rises with </w:t>
      </w:r>
      <w:r w:rsidR="005B3C3C">
        <w:t>the left</w:t>
      </w:r>
      <w:r w:rsidR="00F26AB2">
        <w:t xml:space="preserve"> </w:t>
      </w:r>
      <w:r w:rsidR="00BF5CE9">
        <w:t xml:space="preserve">(with a shock to expectations) </w:t>
      </w:r>
      <w:r w:rsidR="00F26AB2">
        <w:t xml:space="preserve">and falls with </w:t>
      </w:r>
      <w:r w:rsidR="005B3C3C">
        <w:t>the right</w:t>
      </w:r>
      <w:r w:rsidR="00A25D8C">
        <w:t>,</w:t>
      </w:r>
      <w:r w:rsidR="00F26AB2">
        <w:t xml:space="preserve"> but then reverts to the natural rate</w:t>
      </w:r>
      <w:r w:rsidR="005B3C3C">
        <w:t xml:space="preserve"> while expectations adjust</w:t>
      </w:r>
      <w:r w:rsidR="00905658">
        <w:t>, while inflation is permanently different by party</w:t>
      </w:r>
      <w:r w:rsidR="005B3C3C">
        <w:t>.</w:t>
      </w:r>
      <w:r w:rsidR="008779C5">
        <w:t xml:space="preserve"> In a variant considering politician types and competence</w:t>
      </w:r>
      <w:r w:rsidR="0006511C">
        <w:t xml:space="preserve">, incumbents </w:t>
      </w:r>
      <w:r w:rsidR="00F26AB2">
        <w:t xml:space="preserve">may win additional votes by </w:t>
      </w:r>
      <w:r w:rsidR="00B11F3B">
        <w:t>manipulating</w:t>
      </w:r>
      <w:r w:rsidR="0050759D">
        <w:t xml:space="preserve"> </w:t>
      </w:r>
      <w:r w:rsidR="00614B6C">
        <w:t xml:space="preserve">even </w:t>
      </w:r>
      <w:r w:rsidR="0050759D">
        <w:t xml:space="preserve">further than </w:t>
      </w:r>
      <w:r w:rsidR="00F26AB2">
        <w:t>ideological preferences</w:t>
      </w:r>
      <w:r w:rsidR="00906A20">
        <w:t>.</w:t>
      </w:r>
    </w:p>
    <w:p w14:paraId="479A2762" w14:textId="0281EEB2"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136DF">
        <w:t xml:space="preserve">differing time horizons from politicians and </w:t>
      </w:r>
      <w:r w:rsidR="00FA5690">
        <w:t xml:space="preserve">a degree of independence, political manipulation </w:t>
      </w:r>
      <w:r w:rsidR="004E0295">
        <w:t>is clearly limited.</w:t>
      </w:r>
      <w:r w:rsidR="00317B70">
        <w:t xml:space="preserve"> Evidence</w:t>
      </w:r>
      <w:r w:rsidR="0093585C">
        <w:t xml:space="preserve"> on </w:t>
      </w:r>
      <w:r w:rsidR="00690451">
        <w:t>the impact of independence on</w:t>
      </w:r>
      <w:r w:rsidR="005312C4">
        <w:t>, for example,</w:t>
      </w:r>
      <w:r w:rsidR="00690451">
        <w:t xml:space="preserve"> </w:t>
      </w:r>
      <w:r w:rsidR="00131AE2">
        <w:t xml:space="preserve">monetary, </w:t>
      </w:r>
      <w:r w:rsidR="00690451">
        <w:t>rational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77777777"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so as to avoid inflation, any may threaten interest rate increases or denial of credit to enforce it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4622144E" w14:textId="48201671" w:rsidR="001A00C7" w:rsidRPr="001A00C7" w:rsidRDefault="001A00C7" w:rsidP="002F28E1">
      <w:pPr>
        <w:rPr>
          <w:lang w:val="en-GB"/>
        </w:rPr>
      </w:pPr>
      <w:r>
        <w:rPr>
          <w:lang w:val="en-GB"/>
        </w:rPr>
        <w:t xml:space="preserve">The independent central bank fiscal policy business cycle restraint effect appears to be of a smaller magnitude and impact than any monetary policy effects, however, for several reasons. </w:t>
      </w:r>
      <w:r w:rsidR="003F526A">
        <w:rPr>
          <w:lang w:val="en-GB"/>
        </w:rPr>
        <w:t>T</w:t>
      </w:r>
      <w:r>
        <w:rPr>
          <w:lang w:val="en-GB"/>
        </w:rPr>
        <w:t xml:space="preserve">he relationship has been found to hold in non-election years and for left government tenures only. In opportunistic models, much of the spike in fiscal transfers </w:t>
      </w:r>
      <w:r w:rsidR="00B83385">
        <w:rPr>
          <w:lang w:val="en-GB"/>
        </w:rPr>
        <w:t>(such as social security</w:t>
      </w:r>
      <w:r w:rsidR="00147D07">
        <w:rPr>
          <w:lang w:val="en-GB"/>
        </w:rPr>
        <w:t xml:space="preserve"> and retirement</w:t>
      </w:r>
      <w:r w:rsidR="00B83385">
        <w:rPr>
          <w:lang w:val="en-GB"/>
        </w:rPr>
        <w:t xml:space="preserve"> benefits) </w:t>
      </w:r>
      <w:r>
        <w:rPr>
          <w:lang w:val="en-GB"/>
        </w:rPr>
        <w:t xml:space="preserve">comes right before the election and in the few months or quarter beforehand, certainly within the election year </w:t>
      </w:r>
      <w:r>
        <w:rPr>
          <w:lang w:val="en-GB"/>
        </w:rPr>
        <w:fldChar w:fldCharType="begin"/>
      </w:r>
      <w:r>
        <w:rPr>
          <w:lang w:val="en-GB"/>
        </w:rPr>
        <w:instrText xml:space="preserve"> ADDIN ZOTERO_ITEM CSL_CITATION {"citationID":"Elxzpp74","properties":{"formattedCitation":"(Tufte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Pr>
          <w:lang w:val="en-GB"/>
        </w:rPr>
        <w:fldChar w:fldCharType="separate"/>
      </w:r>
      <w:r w:rsidRPr="00734926">
        <w:rPr>
          <w:rFonts w:ascii="Calibri" w:hAnsi="Calibri" w:cs="Calibri"/>
        </w:rPr>
        <w:t>(Tufte 1980)</w:t>
      </w:r>
      <w:r>
        <w:rPr>
          <w:lang w:val="en-GB"/>
        </w:rPr>
        <w:fldChar w:fldCharType="end"/>
      </w:r>
      <w:r>
        <w:rPr>
          <w:lang w:val="en-GB"/>
        </w:rPr>
        <w:t xml:space="preserve">. </w:t>
      </w:r>
      <w:r w:rsidR="00DC3102">
        <w:rPr>
          <w:lang w:val="en-GB"/>
        </w:rPr>
        <w:t>These minor transfers may be considered close enough to deficit neutral</w:t>
      </w:r>
      <w:r w:rsidR="00B83385">
        <w:rPr>
          <w:lang w:val="en-GB"/>
        </w:rPr>
        <w:t>, and a</w:t>
      </w:r>
      <w:r>
        <w:rPr>
          <w:lang w:val="en-GB"/>
        </w:rPr>
        <w:t xml:space="preserve"> lack of central bank assertiveness for the entire year thus largely rules out any constraint on opportunistic cycles, unless such cycles actually begin far in advance of evidence shown in the literature or in the case of any post-election meddling. Moreover, if independent central bank fiscal constraint applies only under left governments, an entire half of the partisan business cycle model continues unabated. The overall picture we are left with is one in which the independent central bank’s influence on fiscal policy applies only for the left-in-power half of partisan cycles.</w:t>
      </w:r>
    </w:p>
    <w:p w14:paraId="79B60B4D" w14:textId="2180561B" w:rsidR="009E2D26" w:rsidRDefault="000166D8" w:rsidP="00455EE5">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opportunistically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0B0071">
        <w:t xml:space="preserve"> </w:t>
      </w:r>
      <w:r w:rsidR="005654CE">
        <w:t>a</w:t>
      </w:r>
      <w:r w:rsidR="00F35BE2">
        <w:t>lthough a potential</w:t>
      </w:r>
      <w:r w:rsidR="006114B9">
        <w:t xml:space="preserve"> workaround could be found in the </w:t>
      </w:r>
      <w:r w:rsidR="00CB3BE0">
        <w:t>synchronization of electoral timing worldwide</w:t>
      </w:r>
      <w:r w:rsidR="00985BB9">
        <w:t xml:space="preserve"> </w:t>
      </w:r>
      <w:r w:rsidR="00CB3BE0">
        <w:fldChar w:fldCharType="begin"/>
      </w:r>
      <w:r w:rsidR="00985BB9">
        <w:instrText xml:space="preserve"> ADDIN ZOTERO_ITEM CSL_CITATION {"citationID":"znB4LEwt","properties":{"formattedCitation":"(Tufte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B3BE0">
        <w:fldChar w:fldCharType="separate"/>
      </w:r>
      <w:r w:rsidR="00985BB9" w:rsidRPr="00985BB9">
        <w:rPr>
          <w:rFonts w:ascii="Calibri" w:hAnsi="Calibri" w:cs="Calibri"/>
        </w:rPr>
        <w:t>(Tufte 1980)</w:t>
      </w:r>
      <w:r w:rsidR="00CB3BE0">
        <w:fldChar w:fldCharType="end"/>
      </w:r>
      <w:r w:rsidR="00985BB9">
        <w:t>.</w:t>
      </w:r>
    </w:p>
    <w:p w14:paraId="5B046E51" w14:textId="60B153C6" w:rsidR="003D735D" w:rsidRDefault="00F77456" w:rsidP="009E5B56">
      <w:r>
        <w:lastRenderedPageBreak/>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 as there may be some degree of shift from</w:t>
      </w:r>
      <w:r w:rsidR="00C26067">
        <w:t xml:space="preserve"> increasingly limited</w:t>
      </w:r>
      <w:r w:rsidR="00635F24">
        <w:t xml:space="preserve"> monetary to </w:t>
      </w:r>
      <w:r w:rsidR="00C26067">
        <w:t xml:space="preserve">increasing possible </w:t>
      </w:r>
      <w:r w:rsidR="00635F24">
        <w:t>fiscal measures.</w:t>
      </w:r>
    </w:p>
    <w:p w14:paraId="3F8199BB" w14:textId="757874FC" w:rsidR="009E5B56" w:rsidRDefault="004606BE" w:rsidP="009E5B56">
      <w:r>
        <w:t>However</w:t>
      </w:r>
      <w:r w:rsidR="009E5B56">
        <w:t xml:space="preserve">, the evidence for a </w:t>
      </w:r>
      <w:r w:rsidR="007E51BF">
        <w:t xml:space="preserve">net </w:t>
      </w:r>
      <w:r w:rsidR="009E5B56">
        <w:t xml:space="preserve">limiting impact of 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 xml:space="preserve">in both time-series and cross-sectional analysis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the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8985353"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5B295503"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2"/>
      </w:r>
    </w:p>
    <w:p w14:paraId="22FE51E3" w14:textId="367C5B98" w:rsidR="00C003DA" w:rsidRDefault="00C003DA" w:rsidP="002E72B3">
      <w:r>
        <w:t xml:space="preserve">Polticians </w:t>
      </w:r>
      <w:r w:rsidR="005D0566">
        <w:t>also appear to be</w:t>
      </w:r>
      <w:r>
        <w:t xml:space="preserve"> aware of economic voting, creating the appropriate motivations for behavior. There is good anecdotal evidence on this point. In the US, for example, statistical studies were actually commissioned by top government officials which found a clear responsiveness of vote shares to economic conditions as early as the 1970s </w:t>
      </w:r>
      <w:r>
        <w:fldChar w:fldCharType="begin"/>
      </w:r>
      <w:r>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D14714">
        <w:rPr>
          <w:rFonts w:ascii="Calibri" w:hAnsi="Calibri" w:cs="Calibri"/>
        </w:rPr>
        <w:t>(Tufte 1980)</w:t>
      </w:r>
      <w:r>
        <w:fldChar w:fldCharType="end"/>
      </w:r>
      <w:r>
        <w:t xml:space="preserve">. Perhaps the most famous articulation of awareness was that of the 1992 U.S. presidential campaign, when Bill Clinton’s chief strategist James Carville put up a sign in campaign headquarters that read: “It’s the economy, stupid!” </w:t>
      </w:r>
      <w:r>
        <w:fldChar w:fldCharType="begin"/>
      </w:r>
      <w:r>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fldChar w:fldCharType="separate"/>
      </w:r>
      <w:r w:rsidRPr="003852AD">
        <w:rPr>
          <w:rFonts w:ascii="Calibri" w:hAnsi="Calibri" w:cs="Calibri"/>
        </w:rPr>
        <w:t>(Anderson 2007)</w:t>
      </w:r>
      <w:r>
        <w:fldChar w:fldCharType="end"/>
      </w:r>
    </w:p>
    <w:p w14:paraId="36321562" w14:textId="6364A9D3"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ociety as a whole is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742BFB">
        <w:t>(</w:t>
      </w:r>
      <w:r w:rsidR="00636467">
        <w:t xml:space="preserve">despite the </w:t>
      </w:r>
      <w:r w:rsidR="00742BFB">
        <w:t>potential loss of some flexibility due to fixed exchange rates)</w:t>
      </w:r>
      <w:r w:rsidR="00983C85">
        <w:t>.</w:t>
      </w:r>
      <w:r w:rsidR="00FA01E4">
        <w:t xml:space="preserve"> </w:t>
      </w:r>
      <w:r w:rsidR="007D21A6" w:rsidRPr="007E56A4">
        <w:t>As a next step,</w:t>
      </w:r>
      <w:r w:rsidR="007E56A4">
        <w:t xml:space="preserve"> a</w:t>
      </w:r>
      <w:r w:rsidR="007D21A6" w:rsidRPr="007E56A4">
        <w:t xml:space="preserve"> </w:t>
      </w:r>
      <w:r w:rsidR="007D21A6" w:rsidRPr="007E56A4">
        <w:lastRenderedPageBreak/>
        <w:t xml:space="preserve">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5A60BDE1" w14:textId="723CFF5A" w:rsidR="00BE6D24" w:rsidRDefault="007554F9" w:rsidP="002F28E1">
      <w:r>
        <w:t xml:space="preserve">Within the political business cycle strand, </w:t>
      </w:r>
      <w:r w:rsidR="00C21CD4">
        <w:t xml:space="preserve">with sociotropic and </w:t>
      </w:r>
      <w:r w:rsidR="00D13089">
        <w:t xml:space="preserve">mostly </w:t>
      </w:r>
      <w:r w:rsidR="00C21CD4">
        <w:t>retrospective voting,</w:t>
      </w:r>
      <w:r w:rsidR="00722FA1">
        <w:t xml:space="preserve"> regardless of the </w:t>
      </w:r>
      <w:r w:rsidR="0096787B">
        <w:t>associated</w:t>
      </w:r>
      <w:r w:rsidR="00722FA1">
        <w:t xml:space="preserve"> kind of business</w:t>
      </w:r>
      <w:r w:rsidR="00983FD5">
        <w:t xml:space="preserve"> cycle</w:t>
      </w:r>
      <w:r w:rsidR="0096787B">
        <w:t xml:space="preserve"> (rational or traditional</w:t>
      </w:r>
      <w:r>
        <w:t>,</w:t>
      </w:r>
      <w:r w:rsidR="0096787B">
        <w:t xml:space="preserve"> opportunistic or partisan)</w:t>
      </w:r>
      <w:r w:rsidR="00983FD5">
        <w:t xml:space="preserve">, </w:t>
      </w:r>
      <w:r w:rsidR="008965F1">
        <w:t xml:space="preserve">I argue that </w:t>
      </w:r>
      <w:r w:rsidR="00983FD5">
        <w:t>the general effect seems to be that of increased instability from limiting institutions.</w:t>
      </w:r>
      <w:r w:rsidR="006B755A">
        <w:t xml:space="preserve"> </w:t>
      </w:r>
      <w:r w:rsidR="00B8486B">
        <w:t xml:space="preserve">Decreased manipulation </w:t>
      </w:r>
      <w:r w:rsidR="00A0566E">
        <w:t xml:space="preserve">increases instability. </w:t>
      </w:r>
      <w:r w:rsidR="006B755A">
        <w:t xml:space="preserve">This of course comes with the lone </w:t>
      </w:r>
      <w:r w:rsidR="00C07A30">
        <w:t>excepti</w:t>
      </w:r>
      <w:r w:rsidR="006B755A">
        <w:t>on of</w:t>
      </w:r>
      <w:r w:rsidR="00C07A30">
        <w:t xml:space="preserve"> the consideration of fixed rates and fiscal policy</w:t>
      </w:r>
      <w:r w:rsidR="006B755A">
        <w:t xml:space="preserve"> mentioned earlier</w:t>
      </w:r>
      <w:r w:rsidR="00B8486B">
        <w:t>, where allowed manipulation increases</w:t>
      </w:r>
      <w:r w:rsidR="00C07A30">
        <w:t xml:space="preserve">. </w:t>
      </w:r>
    </w:p>
    <w:p w14:paraId="353030EA" w14:textId="24803CFD" w:rsidR="00642EFE" w:rsidRDefault="00870B0D" w:rsidP="002F28E1">
      <w:r>
        <w:t>Findings</w:t>
      </w:r>
      <w:r w:rsidR="005419C4">
        <w:t xml:space="preserve"> </w:t>
      </w:r>
      <w:r w:rsidR="00500908">
        <w:t xml:space="preserve">about the specific type of economic voting </w:t>
      </w:r>
      <w:r w:rsidR="005419C4">
        <w:t xml:space="preserve">can inform </w:t>
      </w:r>
      <w:r w:rsidR="009F2A65">
        <w:t>us as to what type of political business cycle to expect</w:t>
      </w:r>
      <w:r>
        <w:t xml:space="preserve"> on some dimensions</w:t>
      </w:r>
      <w:r w:rsidR="007A1113">
        <w:t>.</w:t>
      </w:r>
      <w:r w:rsidR="002B13C4">
        <w:t xml:space="preserve"> The choice between pocketbook and sociotropic</w:t>
      </w:r>
      <w:r w:rsidR="0064323B">
        <w:t xml:space="preserve"> in favor of sociotropic voting</w:t>
      </w:r>
      <w:r w:rsidR="002B13C4">
        <w:t xml:space="preserve"> is not particularly informative. </w:t>
      </w:r>
      <w:r w:rsidR="00430D41">
        <w:t xml:space="preserve">Pocketbook or sociotropic voters may both appreciate the </w:t>
      </w:r>
      <w:r w:rsidR="002C002B">
        <w:t xml:space="preserve">economic </w:t>
      </w:r>
      <w:r w:rsidR="00F768AB">
        <w:t>boosts</w:t>
      </w:r>
      <w:r w:rsidR="002C002B">
        <w:t xml:space="preserve"> of cycles</w:t>
      </w:r>
      <w:r w:rsidR="00B9307E">
        <w:t xml:space="preserve">, although an insistence on sociotropic </w:t>
      </w:r>
      <w:r w:rsidR="00B411E3">
        <w:t>reactions</w:t>
      </w:r>
      <w:r w:rsidR="000F45AF">
        <w:t xml:space="preserve"> </w:t>
      </w:r>
      <w:r w:rsidR="00B411E3">
        <w:t xml:space="preserve">certainly raises the scale required (from an </w:t>
      </w:r>
      <w:r w:rsidR="00C12143">
        <w:t>that of enough individuals to one of the entire economy) for manipulation to have an impact.</w:t>
      </w:r>
      <w:r w:rsidR="00B45B5E">
        <w:t xml:space="preserve"> </w:t>
      </w:r>
    </w:p>
    <w:p w14:paraId="25C02FA8" w14:textId="4A02D365" w:rsidR="002F280C" w:rsidRPr="004E7600" w:rsidRDefault="004559D8" w:rsidP="002F28E1">
      <w:r>
        <w:t>The choice between retrospective and prospective voting</w:t>
      </w:r>
      <w:r w:rsidR="001C772B">
        <w:t xml:space="preserve"> in favor of </w:t>
      </w:r>
      <w:r w:rsidR="00D13089">
        <w:t xml:space="preserve">mostly </w:t>
      </w:r>
      <w:r w:rsidR="001C772B">
        <w:t>retrospective</w:t>
      </w:r>
      <w:r>
        <w:t xml:space="preserve">, however, provides some further insight. </w:t>
      </w:r>
      <w:r w:rsidR="000D58EB">
        <w:t xml:space="preserve">Retrospective voters </w:t>
      </w:r>
      <w:r w:rsidR="006442A3">
        <w:t xml:space="preserve">are </w:t>
      </w:r>
      <w:r w:rsidR="00E52C45">
        <w:t>critical to opportunistic models</w:t>
      </w:r>
      <w:r w:rsidR="00E668BB">
        <w:t>, where there is reflection on current status in the traditional case or competence</w:t>
      </w:r>
      <w:r w:rsidR="00511F08">
        <w:t xml:space="preserve"> in the rational case. Retrospective voters also feature in </w:t>
      </w:r>
      <w:r w:rsidR="001577D9">
        <w:t>the traditional partisan</w:t>
      </w:r>
      <w:r w:rsidR="00B26F2B">
        <w:t xml:space="preserve"> model</w:t>
      </w:r>
      <w:r w:rsidR="008D2736">
        <w:t xml:space="preserve">, where they ignore forecasts of the future and </w:t>
      </w:r>
      <w:r w:rsidR="004F0A1F">
        <w:t xml:space="preserve">match preferences to past party outcomes. </w:t>
      </w:r>
      <w:r w:rsidR="006671C9">
        <w:t>In contrast, p</w:t>
      </w:r>
      <w:r w:rsidR="00CF5957">
        <w:t xml:space="preserve">rospective voters feature in the </w:t>
      </w:r>
      <w:r w:rsidR="006671C9">
        <w:t>rational partisan model</w:t>
      </w:r>
      <w:r w:rsidR="002B3715">
        <w:t xml:space="preserve">, where expectations of </w:t>
      </w:r>
      <w:r w:rsidR="004A08D9">
        <w:t xml:space="preserve">future conditions </w:t>
      </w:r>
      <w:r w:rsidR="00C84F43">
        <w:t>under and probabilities of each party’s rule matter</w:t>
      </w:r>
      <w:r w:rsidR="004A08D9">
        <w:t>.</w:t>
      </w:r>
      <w:r w:rsidR="00C84F43">
        <w:t xml:space="preserve"> </w:t>
      </w:r>
      <w:r w:rsidR="00D0464F">
        <w:t>Since</w:t>
      </w:r>
      <w:r w:rsidR="00F86017">
        <w:t xml:space="preserve"> literature</w:t>
      </w:r>
      <w:r w:rsidR="004E7600">
        <w:t xml:space="preserve"> findings seems to support retrospective voting whenever an incumbent is running, </w:t>
      </w:r>
      <w:r w:rsidR="00C1011E">
        <w:t>the rational partisan model appears to lose explanatory power.</w:t>
      </w:r>
      <w:r w:rsidR="00011DB8" w:rsidRPr="004E7600">
        <w:rPr>
          <w:rStyle w:val="FootnoteReference"/>
        </w:rPr>
        <w:footnoteReference w:id="3"/>
      </w:r>
    </w:p>
    <w:p w14:paraId="0775E21F" w14:textId="2FE6C550" w:rsidR="00EB3505" w:rsidRPr="003F7233" w:rsidRDefault="00260313" w:rsidP="00630CF6">
      <w:r>
        <w:t>In all of these retrospective models,</w:t>
      </w:r>
      <w:r w:rsidR="00170D17" w:rsidRPr="00557D68">
        <w:t xml:space="preserve"> </w:t>
      </w:r>
      <w:r w:rsidR="008D2911" w:rsidRPr="00557D68">
        <w:t>e</w:t>
      </w:r>
      <w:r w:rsidR="00D137DC" w:rsidRPr="00557D68">
        <w:t xml:space="preserve">conomic voting </w:t>
      </w:r>
      <w:r w:rsidR="00C857E6" w:rsidRPr="00557D68">
        <w:t>may mean</w:t>
      </w:r>
      <w:r w:rsidR="00D137DC" w:rsidRPr="00557D68">
        <w:t xml:space="preserve"> that r</w:t>
      </w:r>
      <w:r w:rsidR="00E116A5" w:rsidRPr="00557D68">
        <w:t xml:space="preserve">educed ability to manipulate </w:t>
      </w:r>
      <w:r w:rsidR="00C50430" w:rsidRPr="00557D68">
        <w:t xml:space="preserve">the economy may lead to worse </w:t>
      </w:r>
      <w:r w:rsidR="007B2161" w:rsidRPr="00557D68">
        <w:t>electoral outcomes for incumbents.</w:t>
      </w:r>
      <w:r w:rsidR="00972D48">
        <w:t xml:space="preserve"> </w:t>
      </w:r>
      <w:r w:rsidR="00704103" w:rsidRPr="00554B79">
        <w:t>The</w:t>
      </w:r>
      <w:r w:rsidR="002E08D4" w:rsidRPr="00554B79">
        <w:t xml:space="preserve"> economic voting</w:t>
      </w:r>
      <w:r w:rsidR="00704103" w:rsidRPr="00554B79">
        <w:t xml:space="preserve"> implications of </w:t>
      </w:r>
      <w:r w:rsidR="0005420F" w:rsidRPr="00554B79">
        <w:t xml:space="preserve">a failure to manipulate the economy </w:t>
      </w:r>
      <w:r w:rsidR="00C12162">
        <w:t xml:space="preserve">for an incumbent faced with limitations </w:t>
      </w:r>
      <w:r w:rsidR="0005420F" w:rsidRPr="00554B79">
        <w:t xml:space="preserve">in </w:t>
      </w:r>
      <w:r w:rsidR="00E52A34" w:rsidRPr="00554B79">
        <w:t>an opportunistic</w:t>
      </w:r>
      <w:r w:rsidR="00E7089B" w:rsidRPr="00554B79">
        <w:t xml:space="preserve"> political business cycle model are relatively straightforward.</w:t>
      </w:r>
      <w:r w:rsidR="00002177" w:rsidRPr="00554B79">
        <w:t xml:space="preserve"> The incumbent would like to satisfy</w:t>
      </w:r>
      <w:r w:rsidR="00243BA7" w:rsidRPr="00554B79">
        <w:t xml:space="preserve"> voters </w:t>
      </w:r>
      <w:r w:rsidR="00427FAA" w:rsidRPr="00554B79">
        <w:t xml:space="preserve">or display competence </w:t>
      </w:r>
      <w:r w:rsidR="00243BA7" w:rsidRPr="00554B79">
        <w:t xml:space="preserve">by </w:t>
      </w:r>
      <w:r w:rsidR="002538A1" w:rsidRPr="00554B79">
        <w:t>creating</w:t>
      </w:r>
      <w:r w:rsidR="00C86BCC" w:rsidRPr="00554B79">
        <w:t xml:space="preserve"> short-term</w:t>
      </w:r>
      <w:r w:rsidR="00902DCF" w:rsidRPr="00554B79">
        <w:t xml:space="preserve"> optimal</w:t>
      </w:r>
      <w:r w:rsidR="002538A1" w:rsidRPr="00554B79">
        <w:t xml:space="preserve"> </w:t>
      </w:r>
      <w:r w:rsidR="008C7AD7" w:rsidRPr="00554B79">
        <w:t>manipulated</w:t>
      </w:r>
      <w:r w:rsidR="002538A1" w:rsidRPr="00554B79">
        <w:t xml:space="preserve"> conditions for </w:t>
      </w:r>
      <w:r w:rsidR="0064078B" w:rsidRPr="00554B79">
        <w:t>variables</w:t>
      </w:r>
      <w:r w:rsidR="00B43044" w:rsidRPr="00554B79">
        <w:t xml:space="preserve"> such as inflation</w:t>
      </w:r>
      <w:r w:rsidR="00E80CEE" w:rsidRPr="00554B79">
        <w:t xml:space="preserve"> (low)</w:t>
      </w:r>
      <w:r w:rsidR="00B43044" w:rsidRPr="00554B79">
        <w:t xml:space="preserve"> and unemployment</w:t>
      </w:r>
      <w:r w:rsidR="00B45776" w:rsidRPr="00554B79">
        <w:t xml:space="preserve"> (low)</w:t>
      </w:r>
      <w:r w:rsidR="00096B06" w:rsidRPr="00554B79">
        <w:t xml:space="preserve"> but cannot do so</w:t>
      </w:r>
      <w:r w:rsidR="00B43044" w:rsidRPr="00554B79">
        <w:t>.</w:t>
      </w:r>
      <w:r w:rsidR="00404EA4" w:rsidRPr="00554B79">
        <w:t xml:space="preserve"> </w:t>
      </w:r>
      <w:r w:rsidR="0037019E" w:rsidRPr="00554B79">
        <w:t xml:space="preserve">Retrospective voters may </w:t>
      </w:r>
      <w:r w:rsidR="00404EA4" w:rsidRPr="00554B79">
        <w:t xml:space="preserve">then </w:t>
      </w:r>
      <w:r w:rsidR="0037019E" w:rsidRPr="00554B79">
        <w:t>explicitly punish them at the polls</w:t>
      </w:r>
      <w:r w:rsidR="00404EA4" w:rsidRPr="00554B79">
        <w:t xml:space="preserve"> by voting for an opponent</w:t>
      </w:r>
      <w:r w:rsidR="00CA77B2" w:rsidRPr="00554B79">
        <w:t xml:space="preserve"> or a</w:t>
      </w:r>
      <w:r w:rsidR="00BE3314" w:rsidRPr="00554B79">
        <w:t xml:space="preserve"> more </w:t>
      </w:r>
      <w:r w:rsidR="00BE3314" w:rsidRPr="003F7233">
        <w:t>competent alternative</w:t>
      </w:r>
      <w:r w:rsidR="0037019E" w:rsidRPr="003F7233">
        <w:t>.</w:t>
      </w:r>
      <w:r w:rsidR="00320F91">
        <w:t xml:space="preserve"> This increases instability.</w:t>
      </w:r>
    </w:p>
    <w:p w14:paraId="06C7B2B0" w14:textId="77CC32E1" w:rsidR="003013B4" w:rsidRDefault="008E6B42" w:rsidP="00CB61C1">
      <w:pPr>
        <w:rPr>
          <w:lang w:val="en-GB"/>
        </w:rPr>
      </w:pPr>
      <w:r w:rsidRPr="003F7233">
        <w:rPr>
          <w:lang w:val="en-GB"/>
        </w:rPr>
        <w:t xml:space="preserve">In a </w:t>
      </w:r>
      <w:r w:rsidR="00FF5D12" w:rsidRPr="003F7233">
        <w:rPr>
          <w:lang w:val="en-GB"/>
        </w:rPr>
        <w:t xml:space="preserve">traditional </w:t>
      </w:r>
      <w:r w:rsidRPr="003F7233">
        <w:rPr>
          <w:lang w:val="en-GB"/>
        </w:rPr>
        <w:t>partisan model</w:t>
      </w:r>
      <w:r w:rsidR="00D759CB" w:rsidRPr="003F7233">
        <w:rPr>
          <w:lang w:val="en-GB"/>
        </w:rPr>
        <w:t>,</w:t>
      </w:r>
      <w:r w:rsidR="00421E68" w:rsidRPr="003F7233">
        <w:rPr>
          <w:lang w:val="en-GB"/>
        </w:rPr>
        <w:t xml:space="preserve"> the only real change</w:t>
      </w:r>
      <w:r w:rsidR="00E94706" w:rsidRPr="003F7233">
        <w:rPr>
          <w:lang w:val="en-GB"/>
        </w:rPr>
        <w:t xml:space="preserve"> to the consequences of failure to </w:t>
      </w:r>
      <w:r w:rsidR="00F81B42" w:rsidRPr="003F7233">
        <w:rPr>
          <w:lang w:val="en-GB"/>
        </w:rPr>
        <w:t>deliver on preferences</w:t>
      </w:r>
      <w:r w:rsidR="00421E68" w:rsidRPr="003F7233">
        <w:rPr>
          <w:lang w:val="en-GB"/>
        </w:rPr>
        <w:t xml:space="preserve"> </w:t>
      </w:r>
      <w:r w:rsidR="00FE1F47" w:rsidRPr="003F7233">
        <w:rPr>
          <w:lang w:val="en-GB"/>
        </w:rPr>
        <w:t>comes from the fact that optimal</w:t>
      </w:r>
      <w:r w:rsidR="00D457FD" w:rsidRPr="003F7233">
        <w:rPr>
          <w:lang w:val="en-GB"/>
        </w:rPr>
        <w:t xml:space="preserve"> levels of economic variables are </w:t>
      </w:r>
      <w:r w:rsidR="000E5A68" w:rsidRPr="003F7233">
        <w:rPr>
          <w:lang w:val="en-GB"/>
        </w:rPr>
        <w:t>not social</w:t>
      </w:r>
      <w:r w:rsidR="00D457FD" w:rsidRPr="003F7233">
        <w:rPr>
          <w:lang w:val="en-GB"/>
        </w:rPr>
        <w:t>ly uniform</w:t>
      </w:r>
      <w:r w:rsidR="0005002F" w:rsidRPr="003F7233">
        <w:rPr>
          <w:lang w:val="en-GB"/>
        </w:rPr>
        <w:t xml:space="preserve">, but instead specific to parties and groups of </w:t>
      </w:r>
      <w:r w:rsidR="00D80616" w:rsidRPr="003F7233">
        <w:rPr>
          <w:lang w:val="en-GB"/>
        </w:rPr>
        <w:t xml:space="preserve">heterogenous agents. </w:t>
      </w:r>
      <w:r w:rsidR="004B1A3C" w:rsidRPr="003F7233">
        <w:rPr>
          <w:lang w:val="en-GB"/>
        </w:rPr>
        <w:t>Again, the incumbent tries to satisfy the</w:t>
      </w:r>
      <w:r w:rsidR="00DA4353" w:rsidRPr="003F7233">
        <w:rPr>
          <w:lang w:val="en-GB"/>
        </w:rPr>
        <w:t>ir</w:t>
      </w:r>
      <w:r w:rsidR="004B1A3C" w:rsidRPr="003F7233">
        <w:rPr>
          <w:lang w:val="en-GB"/>
        </w:rPr>
        <w:t xml:space="preserve"> </w:t>
      </w:r>
      <w:r w:rsidR="004B1A3C" w:rsidRPr="003F7233">
        <w:rPr>
          <w:lang w:val="en-GB"/>
        </w:rPr>
        <w:lastRenderedPageBreak/>
        <w:t>party optimums but cannot do so.</w:t>
      </w:r>
      <w:r w:rsidR="00B95CA8" w:rsidRPr="003F7233">
        <w:rPr>
          <w:lang w:val="en-GB"/>
        </w:rPr>
        <w:t xml:space="preserve"> Now </w:t>
      </w:r>
      <w:r w:rsidR="00872583" w:rsidRPr="003F7233">
        <w:rPr>
          <w:lang w:val="en-GB"/>
        </w:rPr>
        <w:t xml:space="preserve">retrospective </w:t>
      </w:r>
      <w:r w:rsidR="00F957E1" w:rsidRPr="003F7233">
        <w:rPr>
          <w:lang w:val="en-GB"/>
        </w:rPr>
        <w:t xml:space="preserve">elites or </w:t>
      </w:r>
      <w:r w:rsidR="00B95CA8" w:rsidRPr="003F7233">
        <w:rPr>
          <w:lang w:val="en-GB"/>
        </w:rPr>
        <w:t xml:space="preserve">party </w:t>
      </w:r>
      <w:r w:rsidR="00872583" w:rsidRPr="003F7233">
        <w:rPr>
          <w:lang w:val="en-GB"/>
        </w:rPr>
        <w:t>voters</w:t>
      </w:r>
      <w:r w:rsidR="00F04422" w:rsidRPr="003F7233">
        <w:rPr>
          <w:lang w:val="en-GB"/>
        </w:rPr>
        <w:t xml:space="preserve"> are not adequately satisfied</w:t>
      </w:r>
      <w:r w:rsidR="00D82FE5" w:rsidRPr="003F7233">
        <w:rPr>
          <w:lang w:val="en-GB"/>
        </w:rPr>
        <w:t xml:space="preserve">. They need </w:t>
      </w:r>
      <w:r w:rsidR="00177B30" w:rsidRPr="003F7233">
        <w:rPr>
          <w:lang w:val="en-GB"/>
        </w:rPr>
        <w:t>not vote for opponents</w:t>
      </w:r>
      <w:r w:rsidR="00ED2C60" w:rsidRPr="003F7233">
        <w:rPr>
          <w:lang w:val="en-GB"/>
        </w:rPr>
        <w:t xml:space="preserve">, however; </w:t>
      </w:r>
      <w:r w:rsidR="00EB050F" w:rsidRPr="003F7233">
        <w:rPr>
          <w:lang w:val="en-GB"/>
        </w:rPr>
        <w:t xml:space="preserve">a loss of turnout or participation may be </w:t>
      </w:r>
      <w:r w:rsidR="00710009" w:rsidRPr="003F7233">
        <w:rPr>
          <w:lang w:val="en-GB"/>
        </w:rPr>
        <w:t>enough to inflict electoral damage</w:t>
      </w:r>
      <w:r w:rsidR="00DE6380" w:rsidRPr="003F7233">
        <w:rPr>
          <w:lang w:val="en-GB"/>
        </w:rPr>
        <w:t>, a case especially strong if there is some cost to voting</w:t>
      </w:r>
      <w:r w:rsidR="00782293" w:rsidRPr="003F7233">
        <w:rPr>
          <w:lang w:val="en-GB"/>
        </w:rPr>
        <w:t xml:space="preserve"> </w:t>
      </w:r>
      <w:r w:rsidR="00702593">
        <w:rPr>
          <w:lang w:val="en-GB"/>
        </w:rPr>
        <w:fldChar w:fldCharType="begin"/>
      </w:r>
      <w:r w:rsidR="00816439">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Pr>
          <w:lang w:val="en-GB"/>
        </w:rPr>
        <w:fldChar w:fldCharType="separate"/>
      </w:r>
      <w:r w:rsidR="00816439" w:rsidRPr="00816439">
        <w:rPr>
          <w:rFonts w:ascii="Calibri" w:hAnsi="Calibri" w:cs="Calibri"/>
        </w:rPr>
        <w:t>(Downs 1957)</w:t>
      </w:r>
      <w:r w:rsidR="00702593">
        <w:rPr>
          <w:lang w:val="en-GB"/>
        </w:rPr>
        <w:fldChar w:fldCharType="end"/>
      </w:r>
      <w:r w:rsidR="00816439">
        <w:rPr>
          <w:lang w:val="en-GB"/>
        </w:rPr>
        <w:t>.</w:t>
      </w:r>
      <w:r w:rsidR="0097638B">
        <w:rPr>
          <w:lang w:val="en-GB"/>
        </w:rPr>
        <w:t xml:space="preserve"> </w:t>
      </w:r>
      <w:r w:rsidR="00C73333">
        <w:rPr>
          <w:lang w:val="en-GB"/>
        </w:rPr>
        <w:t>Here again</w:t>
      </w:r>
      <w:r w:rsidR="0097638B">
        <w:rPr>
          <w:lang w:val="en-GB"/>
        </w:rPr>
        <w:t xml:space="preserve">, limiting institutions in the </w:t>
      </w:r>
      <w:r w:rsidR="009657EB">
        <w:rPr>
          <w:lang w:val="en-GB"/>
        </w:rPr>
        <w:t>political</w:t>
      </w:r>
      <w:r w:rsidR="0097638B">
        <w:rPr>
          <w:lang w:val="en-GB"/>
        </w:rPr>
        <w:t xml:space="preserve"> business cycle model are likely to increase instability.</w:t>
      </w:r>
    </w:p>
    <w:p w14:paraId="75F8D9BA" w14:textId="22C8BEF0" w:rsidR="00B21C9D" w:rsidRDefault="00B21C9D" w:rsidP="00C70035">
      <w:pPr>
        <w:pStyle w:val="Heading1"/>
      </w:pPr>
      <w:r>
        <w:t>A Reduced-Form Approach</w:t>
      </w:r>
    </w:p>
    <w:p w14:paraId="745196BC" w14:textId="2EB94E78"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2B1BE6AD" w14:textId="77777777" w:rsidR="007C55C0" w:rsidRPr="00F743FA" w:rsidRDefault="007C55C0" w:rsidP="007C55C0">
      <w:pPr>
        <w:rPr>
          <w:i/>
          <w:iCs/>
        </w:rPr>
      </w:pPr>
      <w:r w:rsidRPr="00F743FA">
        <w:rPr>
          <w:i/>
          <w:iCs/>
        </w:rPr>
        <w:t>Insert Flow Chart Here</w:t>
      </w:r>
    </w:p>
    <w:p w14:paraId="686D4600" w14:textId="77777777" w:rsidR="007C55C0" w:rsidRDefault="007C55C0" w:rsidP="007C55C0">
      <w:pPr>
        <w:rPr>
          <w:i/>
          <w:iCs/>
        </w:rPr>
      </w:pPr>
      <w:r>
        <w:rPr>
          <w:i/>
          <w:iCs/>
        </w:rPr>
        <w:t>Democracy:</w:t>
      </w:r>
    </w:p>
    <w:p w14:paraId="43234EF5" w14:textId="6F53A38D" w:rsidR="007C55C0" w:rsidRDefault="007C55C0" w:rsidP="007C55C0">
      <w:pPr>
        <w:rPr>
          <w:i/>
          <w:iCs/>
        </w:rPr>
      </w:pPr>
      <w:r>
        <w:rPr>
          <w:i/>
          <w:iCs/>
        </w:rPr>
        <w:t>Welfar</w:t>
      </w:r>
      <w:r w:rsidR="00A65F2D">
        <w:rPr>
          <w:i/>
          <w:iCs/>
        </w:rPr>
        <w:t>e</w:t>
      </w:r>
    </w:p>
    <w:p w14:paraId="3C98E87E" w14:textId="53F11CBD" w:rsidR="007C55C0" w:rsidRDefault="007C55C0" w:rsidP="007C55C0">
      <w:pPr>
        <w:rPr>
          <w:i/>
          <w:iCs/>
        </w:rPr>
      </w:pPr>
      <w:r>
        <w:rPr>
          <w:i/>
          <w:iCs/>
        </w:rPr>
        <w:t xml:space="preserve">Independent CB/Fixed Exchange Rate </w:t>
      </w:r>
      <w:r w:rsidRPr="00271BEA">
        <w:rPr>
          <w:i/>
          <w:iCs/>
        </w:rPr>
        <w:sym w:font="Wingdings" w:char="F0E0"/>
      </w:r>
      <w:r>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Pr>
          <w:i/>
          <w:iCs/>
        </w:rPr>
        <w:t xml:space="preserve">--&gt; (Economic Voting Theory) </w:t>
      </w:r>
      <w:r w:rsidR="00256FF2">
        <w:rPr>
          <w:i/>
          <w:iCs/>
        </w:rPr>
        <w:t xml:space="preserve">Net </w:t>
      </w:r>
      <w:r w:rsidR="00745AE5">
        <w:rPr>
          <w:i/>
          <w:iCs/>
        </w:rPr>
        <w:t>L</w:t>
      </w:r>
      <w:r>
        <w:rPr>
          <w:i/>
          <w:iCs/>
        </w:rPr>
        <w:t xml:space="preserve">ess </w:t>
      </w:r>
      <w:r w:rsidR="00526F0F">
        <w:rPr>
          <w:i/>
          <w:iCs/>
        </w:rPr>
        <w:t>E</w:t>
      </w:r>
      <w:r w:rsidR="00745AE5">
        <w:rPr>
          <w:i/>
          <w:iCs/>
        </w:rPr>
        <w:t>l</w:t>
      </w:r>
      <w:r>
        <w:rPr>
          <w:i/>
          <w:iCs/>
        </w:rPr>
        <w:t xml:space="preserve">ectoral </w:t>
      </w:r>
      <w:r w:rsidR="00526F0F">
        <w:rPr>
          <w:i/>
          <w:iCs/>
        </w:rPr>
        <w:t>T</w:t>
      </w:r>
      <w:r>
        <w:rPr>
          <w:i/>
          <w:iCs/>
        </w:rPr>
        <w:t>urnover/</w:t>
      </w:r>
      <w:r w:rsidR="00724932">
        <w:rPr>
          <w:i/>
          <w:iCs/>
        </w:rPr>
        <w:t>I</w:t>
      </w:r>
      <w:r>
        <w:rPr>
          <w:i/>
          <w:iCs/>
        </w:rPr>
        <w:t>nstability</w:t>
      </w:r>
    </w:p>
    <w:p w14:paraId="511BFB4B" w14:textId="77777777" w:rsidR="007C55C0" w:rsidRDefault="007C55C0" w:rsidP="007C55C0">
      <w:pPr>
        <w:rPr>
          <w:i/>
          <w:iCs/>
        </w:rPr>
      </w:pPr>
      <w:r>
        <w:rPr>
          <w:i/>
          <w:iCs/>
        </w:rPr>
        <w:t>PBC</w:t>
      </w:r>
    </w:p>
    <w:p w14:paraId="39845E10" w14:textId="500D168B" w:rsidR="007C55C0" w:rsidRPr="00484A01" w:rsidRDefault="007C55C0" w:rsidP="007C55C0">
      <w:pPr>
        <w:rPr>
          <w:i/>
          <w:iCs/>
        </w:rPr>
      </w:pPr>
      <w:r w:rsidRPr="00F743FA">
        <w:rPr>
          <w:i/>
          <w:iCs/>
        </w:rPr>
        <w:t xml:space="preserve">Independent CB/Fixed Exchange Rate </w:t>
      </w:r>
      <w:r>
        <w:rPr>
          <w:i/>
          <w:iCs/>
        </w:rPr>
        <w:t>–&gt; (PBC Theory)</w:t>
      </w:r>
      <w:r w:rsidR="007D4414">
        <w:rPr>
          <w:i/>
          <w:iCs/>
        </w:rPr>
        <w:t xml:space="preserve"> Net</w:t>
      </w:r>
      <w:r w:rsidRPr="00F743FA">
        <w:rPr>
          <w:i/>
          <w:iCs/>
        </w:rPr>
        <w:t xml:space="preserve"> </w:t>
      </w:r>
      <w:r w:rsidR="00745AE5">
        <w:rPr>
          <w:i/>
          <w:iCs/>
        </w:rPr>
        <w:t>Le</w:t>
      </w:r>
      <w:r w:rsidRPr="00F743FA">
        <w:rPr>
          <w:i/>
          <w:iCs/>
        </w:rPr>
        <w:t>s</w:t>
      </w:r>
      <w:r w:rsidR="00745AE5">
        <w:rPr>
          <w:i/>
          <w:iCs/>
        </w:rPr>
        <w:t>s</w:t>
      </w:r>
      <w:r w:rsidRPr="00F743FA">
        <w:rPr>
          <w:i/>
          <w:iCs/>
        </w:rPr>
        <w:t xml:space="preserve"> PBC Manipulation -&gt; </w:t>
      </w:r>
      <w:r>
        <w:rPr>
          <w:i/>
          <w:iCs/>
        </w:rPr>
        <w:t xml:space="preserve">(Economic Voting Theory) </w:t>
      </w:r>
      <w:r w:rsidR="00256FF2">
        <w:rPr>
          <w:i/>
          <w:iCs/>
        </w:rPr>
        <w:t xml:space="preserve">Net </w:t>
      </w:r>
      <w:r w:rsidR="00745AE5">
        <w:rPr>
          <w:i/>
          <w:iCs/>
        </w:rPr>
        <w:t>M</w:t>
      </w:r>
      <w:r>
        <w:rPr>
          <w:i/>
          <w:iCs/>
        </w:rPr>
        <w:t xml:space="preserve">ore </w:t>
      </w:r>
      <w:r w:rsidRPr="00F743FA">
        <w:rPr>
          <w:i/>
          <w:iCs/>
        </w:rPr>
        <w:t>Electoral Turnover/Instability</w:t>
      </w:r>
    </w:p>
    <w:p w14:paraId="26196248" w14:textId="77777777" w:rsidR="007C55C0" w:rsidRPr="00783601" w:rsidRDefault="007C55C0" w:rsidP="007C55C0">
      <w:pPr>
        <w:rPr>
          <w:i/>
          <w:iCs/>
          <w:strike/>
        </w:rPr>
      </w:pPr>
      <w:r w:rsidRPr="00783601">
        <w:rPr>
          <w:i/>
          <w:iCs/>
          <w:strike/>
        </w:rPr>
        <w:t>Autocracy:</w:t>
      </w:r>
    </w:p>
    <w:p w14:paraId="148D6242" w14:textId="70E183A8" w:rsidR="007C55C0" w:rsidRPr="00783601" w:rsidRDefault="007C55C0" w:rsidP="0095563F">
      <w:pPr>
        <w:rPr>
          <w:i/>
          <w:iCs/>
          <w:strike/>
        </w:rPr>
      </w:pPr>
      <w:r w:rsidRPr="00783601">
        <w:rPr>
          <w:i/>
          <w:iCs/>
          <w:strike/>
        </w:rPr>
        <w:t>Fixed Exchange Rate (Independent CB not independent) -&gt; unclear- reduced ability to manipulate monetary policy to benefit of elite BUT also greater credibility wrt time inconsistency problem?</w:t>
      </w:r>
    </w:p>
    <w:p w14:paraId="1C3F76E1" w14:textId="1AC04C88" w:rsidR="004841BF" w:rsidRDefault="007D5D62" w:rsidP="0095563F">
      <w:r>
        <w:t>S</w:t>
      </w:r>
      <w:r w:rsidR="00AF2704">
        <w:t>imilar work has examined the use of monetary commitment</w:t>
      </w:r>
      <w:r w:rsidR="003E46A7">
        <w:t xml:space="preserve">s to actually increase the durability of cabinets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685844" w:rsidRPr="009B63C0">
        <w:instrText xml:space="preserve"> ADDIN ZOTERO_ITEM CSL_CITATION {"citationID":"kUeqIP66","properties":{"formattedCitation":"(Bernhard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in line with the social welfarist 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while openness had mixed effects.</w:t>
      </w:r>
      <w:r w:rsidR="00167425">
        <w:t xml:space="preserve"> </w:t>
      </w:r>
    </w:p>
    <w:p w14:paraId="5E44C410" w14:textId="426A15DB" w:rsidR="00654FAD" w:rsidRPr="00654FAD" w:rsidRDefault="00654FAD" w:rsidP="0095563F">
      <w:r w:rsidRPr="008931FA">
        <w:t xml:space="preserve">A focus on parliamentary democracies only as in Bernhard and Leblang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democracy and government.</w:t>
      </w:r>
    </w:p>
    <w:p w14:paraId="2508BDC6" w14:textId="73C2B797"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w:t>
      </w:r>
      <w:r w:rsidR="006371C5">
        <w:lastRenderedPageBreak/>
        <w:t>tenure</w:t>
      </w:r>
      <w:r>
        <w:t xml:space="preserve"> </w:t>
      </w:r>
      <w:r>
        <w:rPr>
          <w:b/>
          <w:bCs/>
        </w:rPr>
        <w:fldChar w:fldCharType="begin"/>
      </w:r>
      <w:r w:rsidR="008B4F7F">
        <w:rPr>
          <w:b/>
          <w:bCs/>
        </w:rPr>
        <w:instrText xml:space="preserve"> ADDIN ZOTERO_ITEM CSL_CITATION {"citationID":"lZ4dXb9e","properties":{"formattedCitation":"(William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 may be more important in determining leader survival.</w:t>
      </w:r>
    </w:p>
    <w:p w14:paraId="100A1F5C" w14:textId="66F1079F" w:rsidR="0006642E" w:rsidRPr="008931FA" w:rsidRDefault="0006642E" w:rsidP="0006642E">
      <w:pPr>
        <w:pStyle w:val="Heading1"/>
      </w:pPr>
      <w:r>
        <w:t>Endogeneity Issues</w:t>
      </w:r>
    </w:p>
    <w:p w14:paraId="6956DA8F" w14:textId="6099C4CB" w:rsidR="003D2646"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adequately capture other potential confounders such as federalism or corporatism, nor do they rule out the potential that the choice of commitment institutions may be dependent on politics and stability considerations specifically.</w:t>
      </w:r>
    </w:p>
    <w:p w14:paraId="445DA069" w14:textId="7C31E44F" w:rsidR="00C13E5F" w:rsidRPr="000D556D" w:rsidRDefault="00D37613" w:rsidP="002F28E1">
      <w:pPr>
        <w:rPr>
          <w:lang w:val="en-GB"/>
        </w:rPr>
      </w:pPr>
      <w:r>
        <w:rPr>
          <w:lang w:val="en-GB"/>
        </w:rPr>
        <w:t>Significant evidence for these concerns can be found in a variety of arguments</w:t>
      </w:r>
      <w:r w:rsidR="00B246FE">
        <w:rPr>
          <w:lang w:val="en-GB"/>
        </w:rPr>
        <w:t xml:space="preserve">, providing </w:t>
      </w:r>
      <w:r w:rsidR="00461BF3">
        <w:t>a potential complication for outlined causal mechanism</w:t>
      </w:r>
      <w:r w:rsidR="00B246FE">
        <w:t>s</w:t>
      </w:r>
      <w:r w:rsidR="006A2982">
        <w:t xml:space="preserve"> in all stages</w:t>
      </w:r>
      <w:r w:rsidR="00461BF3">
        <w:t>.</w:t>
      </w:r>
      <w:r w:rsidR="00254DF1">
        <w:rPr>
          <w:lang w:val="en-GB"/>
        </w:rPr>
        <w:t xml:space="preserve"> </w:t>
      </w:r>
      <w:r w:rsidR="00771418">
        <w:t>Central bank independence</w:t>
      </w:r>
      <w:r w:rsidR="00BB6DEC">
        <w:t xml:space="preserve"> is by all means a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p>
    <w:p w14:paraId="0A1169F4" w14:textId="5C34F0CA" w:rsidR="008120B7" w:rsidRDefault="00AF5498" w:rsidP="002F28E1">
      <w:r>
        <w:t>This point is especially salient in the consideration of de jure and de facto independence</w:t>
      </w:r>
      <w:r w:rsidR="00AD0359">
        <w:t>. De jure</w:t>
      </w:r>
      <w:r w:rsidR="00DE727A">
        <w:t>, or statutory independence tends to be rather fixed over time</w:t>
      </w:r>
      <w:r w:rsidR="000E49C8">
        <w:t xml:space="preserve"> </w:t>
      </w:r>
      <w:r w:rsidR="000E49C8">
        <w:fldChar w:fldCharType="begin"/>
      </w:r>
      <w:r w:rsidR="000E49C8">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fldChar w:fldCharType="separate"/>
      </w:r>
      <w:r w:rsidR="000E49C8" w:rsidRPr="002F4130">
        <w:rPr>
          <w:rFonts w:ascii="Calibri" w:hAnsi="Calibri" w:cs="Calibri"/>
        </w:rPr>
        <w:t>(Garriga 2016)</w:t>
      </w:r>
      <w:r w:rsidR="000E49C8">
        <w:fldChar w:fldCharType="end"/>
      </w:r>
      <w:r w:rsidR="00822232">
        <w:t>, meaning that it tends to b</w:t>
      </w:r>
      <w:r w:rsidR="005B777C">
        <w:t>e based on a single set of decisions</w:t>
      </w:r>
      <w:r w:rsidR="00056BCA">
        <w:t xml:space="preserve"> </w:t>
      </w:r>
      <w:r w:rsidR="00744FAD">
        <w:t>when relevant legal measures are passed</w:t>
      </w:r>
      <w:r w:rsidR="000E49C8">
        <w:t>, perhaps limiting political considerations to that period</w:t>
      </w:r>
      <w:r w:rsidR="002F4130">
        <w:t>.</w:t>
      </w:r>
      <w:r w:rsidR="0053203E">
        <w:t xml:space="preserve"> </w:t>
      </w:r>
      <w:r w:rsidR="008120B7">
        <w:t xml:space="preserve">But the </w:t>
      </w:r>
      <w:r w:rsidR="00DD47BF">
        <w:t>matter</w:t>
      </w:r>
      <w:r w:rsidR="008120B7">
        <w:t xml:space="preserve"> of de facto central bank independence is far more often</w:t>
      </w:r>
      <w:r w:rsidR="00DD47BF">
        <w:t xml:space="preserve"> political</w:t>
      </w:r>
      <w:r w:rsidR="00646411">
        <w:t>. This can be seen in the current example given earlier</w:t>
      </w:r>
      <w:r w:rsidR="0053203E">
        <w:t>: political interference and threats are very much possible.</w:t>
      </w:r>
      <w:r w:rsidR="004344FA">
        <w:t xml:space="preserve"> Political actors may be heterogenous in the value they place on independence, as outcry indicates.</w:t>
      </w:r>
    </w:p>
    <w:p w14:paraId="5CA621DA" w14:textId="3E684281" w:rsidR="00140B6E" w:rsidRPr="00D96307" w:rsidRDefault="00FD3172" w:rsidP="002F28E1">
      <w:pPr>
        <w:rPr>
          <w:lang w:val="en-GB"/>
        </w:rPr>
      </w:pPr>
      <w:r>
        <w:rPr>
          <w:lang w:val="en-GB"/>
        </w:rPr>
        <w:t>Some authors have argued that de facto independence may not even exist</w:t>
      </w:r>
      <w:r w:rsidR="00C15E9D">
        <w:rPr>
          <w:lang w:val="en-GB"/>
        </w:rPr>
        <w:t xml:space="preserve"> </w:t>
      </w:r>
      <w:r>
        <w:rPr>
          <w:lang w:val="en-GB"/>
        </w:rPr>
        <w:t xml:space="preserve">in </w:t>
      </w:r>
      <w:r w:rsidR="00431F74">
        <w:rPr>
          <w:lang w:val="en-GB"/>
        </w:rPr>
        <w:t xml:space="preserve">developing nations or </w:t>
      </w:r>
      <w:r>
        <w:rPr>
          <w:lang w:val="en-GB"/>
        </w:rPr>
        <w:t>non-democracies</w:t>
      </w:r>
      <w:r w:rsidR="00532D71">
        <w:rPr>
          <w:lang w:val="en-GB"/>
        </w:rPr>
        <w:t>.</w:t>
      </w:r>
      <w:r w:rsidR="00D96307">
        <w:rPr>
          <w:lang w:val="en-GB"/>
        </w:rPr>
        <w:t xml:space="preserve"> </w:t>
      </w:r>
      <w:r w:rsidR="00536188">
        <w:t>In terms of</w:t>
      </w:r>
      <w:r w:rsidR="00D96307">
        <w:t xml:space="preserve"> predicting</w:t>
      </w:r>
      <w:r w:rsidR="00536188">
        <w:t xml:space="preserve"> the impact on </w:t>
      </w:r>
      <w:r w:rsidR="00D96307">
        <w:t>average inflation rates, turnover of bank</w:t>
      </w:r>
      <w:r w:rsidR="00140B6E" w:rsidRPr="00140B6E">
        <w:t xml:space="preserve"> executive</w:t>
      </w:r>
      <w:r w:rsidR="00D96307">
        <w:t>s</w:t>
      </w:r>
      <w:r w:rsidR="00140B6E" w:rsidRPr="00140B6E">
        <w:t xml:space="preserve"> is </w:t>
      </w:r>
      <w:r w:rsidR="00D96307">
        <w:t xml:space="preserve">superior to de jure independence in a number of countries </w:t>
      </w:r>
      <w:r w:rsidR="00140B6E" w:rsidRPr="00140B6E">
        <w:fldChar w:fldCharType="begin"/>
      </w:r>
      <w:r w:rsidR="00140B6E" w:rsidRPr="00140B6E">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140B6E">
        <w:fldChar w:fldCharType="separate"/>
      </w:r>
      <w:r w:rsidR="00140B6E" w:rsidRPr="00140B6E">
        <w:rPr>
          <w:rFonts w:ascii="Calibri" w:hAnsi="Calibri" w:cs="Calibri"/>
        </w:rPr>
        <w:t>(Cukierman, Webb, and Neyapti 1992)</w:t>
      </w:r>
      <w:r w:rsidR="00140B6E" w:rsidRPr="00140B6E">
        <w:fldChar w:fldCharType="end"/>
      </w:r>
      <w:r w:rsidR="00140B6E" w:rsidRPr="00140B6E">
        <w:t>.</w:t>
      </w:r>
      <w:r w:rsidR="00BF0FB0">
        <w:t xml:space="preserve"> Justification for the fact that </w:t>
      </w:r>
      <w:r w:rsidR="002145FB">
        <w:t xml:space="preserve">independence seems to create fiscal restraint only in democratic and rule of law countries </w:t>
      </w:r>
      <w:r w:rsidR="00F91141">
        <w:t>comes from the fact</w:t>
      </w:r>
      <w:r w:rsidR="00D31298">
        <w:t xml:space="preserve"> that</w:t>
      </w:r>
      <w:r w:rsidR="008B30FD">
        <w:t>, due to political circumstances,</w:t>
      </w:r>
      <w:r w:rsidR="00D31298">
        <w:t xml:space="preserve"> these countries have de jure</w:t>
      </w:r>
      <w:r w:rsidR="008B30FD">
        <w:t xml:space="preserve"> </w:t>
      </w:r>
      <w:r w:rsidR="00DD0162">
        <w:t>and not just de facto independence</w:t>
      </w:r>
      <w:r w:rsidR="002F076C">
        <w:t xml:space="preserve"> </w:t>
      </w:r>
      <w:r w:rsidR="00DD0162">
        <w:fldChar w:fldCharType="begin"/>
      </w:r>
      <w:r w:rsidR="002F076C">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fldChar w:fldCharType="separate"/>
      </w:r>
      <w:r w:rsidR="002F076C" w:rsidRPr="002F076C">
        <w:rPr>
          <w:rFonts w:ascii="Calibri" w:hAnsi="Calibri" w:cs="Calibri"/>
        </w:rPr>
        <w:t>(Bodea and Higashijima 2017)</w:t>
      </w:r>
      <w:r w:rsidR="00DD0162">
        <w:fldChar w:fldCharType="end"/>
      </w:r>
      <w:r w:rsidR="00DD0162">
        <w:t>.</w:t>
      </w:r>
    </w:p>
    <w:p w14:paraId="126AC013" w14:textId="7A14CFB9"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we should be wary of reverse causality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666D1B4E"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463DBCF" w:rsidR="00323FBD" w:rsidRPr="00D027EC" w:rsidRDefault="00323FBD" w:rsidP="002F28E1">
      <w:pPr>
        <w:rPr>
          <w:strike/>
        </w:rPr>
      </w:pPr>
      <w:r w:rsidRPr="00D027EC">
        <w:rPr>
          <w:strike/>
        </w:rPr>
        <w:t>Autocracy political instability and fixed exchange rates</w:t>
      </w:r>
    </w:p>
    <w:p w14:paraId="09A11947" w14:textId="1A69A1E9" w:rsidR="00751606" w:rsidRPr="00A25197" w:rsidRDefault="0032661B" w:rsidP="00866D90">
      <w:r w:rsidRPr="00A25197">
        <w:t>A number of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71D27E5B"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lastRenderedPageBreak/>
        <w:t xml:space="preserve">regime. </w:t>
      </w:r>
      <w:r w:rsidR="00F07B2A">
        <w:t>T</w:t>
      </w:r>
      <w:r w:rsidR="00FB094B">
        <w:t xml:space="preserve">hese nations may also be subject to </w:t>
      </w:r>
      <w:r w:rsidR="0097297D">
        <w:t xml:space="preserve">increased </w:t>
      </w:r>
      <w:r w:rsidR="0063401A">
        <w:t>economic instability due to the presence of currency crises.</w:t>
      </w:r>
      <w:r w:rsidR="00590632">
        <w:t xml:space="preserve"> This may in turn spill over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7ADDA2"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295598">
        <w:t xml:space="preserve"> allow me to conduct my analysis using the appropriate number of lags and alternative estimators </w:t>
      </w:r>
      <w:r w:rsidR="00295598">
        <w:fldChar w:fldCharType="begin"/>
      </w:r>
      <w:r w:rsidR="00BB15FE">
        <w:instrText xml:space="preserve"> ADDIN ZOTERO_ITEM CSL_CITATION {"citationID":"4x7i099d","properties":{"formattedCitation":"(Arellano and Bond 1991)","plainCitation":"(Arellano and Bond 1991)","noteIndex":0},"citationItems":[{"id":"tBawDx6K/rKfuToua","uris":["http://zotero.org/users/5939705/items/9TYX7GHV"],"uri":["http://zotero.org/users/5939705/items/9TYX7GHV"],"itemData":{"id":62,"type":"article-journal","title":"Some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27CDAF66" w14:textId="7EDA52A0" w:rsidR="00D3395B" w:rsidRDefault="000C1F9A" w:rsidP="002F28E1">
      <w:r>
        <w:t>As an additional measure and robustness check</w:t>
      </w:r>
      <w:r w:rsidR="00F41ADB">
        <w:t xml:space="preserve"> to deal with endogeneity, I also </w:t>
      </w:r>
      <w:r w:rsidR="00AD1C6A">
        <w:t xml:space="preserve">pursue an instrumental 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77998D2"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w:t>
      </w:r>
      <w:r w:rsidR="00BE337A">
        <w:lastRenderedPageBreak/>
        <w:t>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6A9688A5" w14:textId="0F0A8577" w:rsidR="00427ABC" w:rsidRDefault="00427ABC" w:rsidP="002F28E1">
      <w:r>
        <w:t xml:space="preserve">Instrument for fixed exchange </w:t>
      </w:r>
      <w:r w:rsidR="0013575F">
        <w:t>r</w:t>
      </w:r>
      <w:r>
        <w:t>ate?</w:t>
      </w:r>
      <w:r w:rsidR="0024049B">
        <w:t xml:space="preserve"> See determinants literature</w:t>
      </w:r>
      <w:r w:rsidR="00C31903">
        <w:t>, find something non-political</w:t>
      </w:r>
      <w:r w:rsidR="0024049B">
        <w:t>.</w:t>
      </w:r>
    </w:p>
    <w:p w14:paraId="4783C89D" w14:textId="3B939864" w:rsidR="00B85767" w:rsidRDefault="00B21C9D" w:rsidP="00AC1ECD">
      <w:pPr>
        <w:pStyle w:val="Heading1"/>
      </w:pPr>
      <w:r>
        <w:t>Data and Testing</w:t>
      </w:r>
    </w:p>
    <w:p w14:paraId="5313F0C1" w14:textId="3A1AB32C" w:rsidR="00855A88" w:rsidRDefault="00855A88" w:rsidP="005268EB">
      <w:pPr>
        <w:pStyle w:val="Heading2"/>
      </w:pPr>
      <w:r>
        <w:t>Dependent Variables</w:t>
      </w:r>
    </w:p>
    <w:p w14:paraId="64CB97EA" w14:textId="77777777" w:rsidR="005D03C9" w:rsidRDefault="00855A88" w:rsidP="00855A88">
      <w:r>
        <w:t xml:space="preserve">Electoral and political instability measures can be derived from the Political Institutions and Political Events Dataset originally compiled by </w:t>
      </w:r>
      <w:r w:rsidRPr="00C0282E">
        <w:t>Przeworski</w:t>
      </w:r>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xml:space="preserve">. For electoral instability, a useful variable is salterl, or Strong Alteration Resulting from an Election, indicating changes in partisan control over the chief executive. </w:t>
      </w:r>
    </w:p>
    <w:p w14:paraId="353F89A4" w14:textId="6B34D490" w:rsidR="00855A88" w:rsidRDefault="00855A88" w:rsidP="00855A88">
      <w:r>
        <w:t>For more profound political instability, the variable coups represents the number of successful armed interventions resulting in removal of chief executives. The variable autocoups also represents autocratic actions against opposition such as the dissolution of a legislature. Unrest and civilwar variables may also be used if they can be located.</w:t>
      </w:r>
    </w:p>
    <w:p w14:paraId="23B98530" w14:textId="5654D4E4" w:rsidR="00697B50" w:rsidRDefault="00334389" w:rsidP="00855A88">
      <w:r>
        <w:t>For the identity of leaders</w:t>
      </w:r>
      <w:r w:rsidR="001A1974">
        <w:t xml:space="preserve"> and for thus the counting of also internal party changes and transitions</w:t>
      </w:r>
      <w:r>
        <w:t xml:space="preserve">, I use </w:t>
      </w:r>
      <w:r w:rsidR="001A1974">
        <w:t>events</w:t>
      </w:r>
      <w:r>
        <w:t xml:space="preserve"> noted in the Archigos dataset</w:t>
      </w:r>
      <w:r w:rsidR="0029410D">
        <w:t xml:space="preserve">, with end dates for the terms in power for </w:t>
      </w:r>
      <w:r w:rsidR="0079691A">
        <w:t xml:space="preserve">leaders through 2015 for </w:t>
      </w:r>
      <w:r w:rsidR="00972D16">
        <w:t>a wide variety of countries</w:t>
      </w:r>
      <w:r w:rsidR="005D03C9">
        <w:t xml:space="preserve"> </w:t>
      </w:r>
      <w:r w:rsidR="00972D16">
        <w:fldChar w:fldCharType="begin"/>
      </w:r>
      <w:r w:rsidR="005D03C9">
        <w:instrText xml:space="preserve"> ADDIN ZOTERO_ITEM CSL_CITATION {"citationID":"IwSWmdjU","properties":{"formattedCitation":"(Goemans, Gleditsch, and Chiozza 2009)","plainCitation":"(Goemans, Gleditsch, and Chiozza 2009)","noteIndex":0},"citationItems":[{"id":171,"uris":["http://zotero.org/users/5939705/items/DL6FRCMI"],"uri":["http://zotero.org/users/5939705/items/DL6FRCMI"],"itemData":{"id":171,"type":"article-journal","container-title":"Journal of Peace Research","DOI":"10.1177/0022343308100719","ISSN":"0022-3433, 1460-3578","issue":"2","journalAbbreviation":"Journal of Peace Research","language":"en","page":"269-283","source":"DOI.org (Crossref)","title":"Introducing Archigos: A Dataset of Political Leaders","title-short":"Introducing Archigos","volume":"46","author":[{"family":"Goemans","given":"Henk E."},{"family":"Gleditsch","given":"Kristian Skrede"},{"family":"Chiozza","given":"Giacomo"}],"issued":{"date-parts":[["2009",3]]}}}],"schema":"https://github.com/citation-style-language/schema/raw/master/csl-citation.json"} </w:instrText>
      </w:r>
      <w:r w:rsidR="00972D16">
        <w:fldChar w:fldCharType="separate"/>
      </w:r>
      <w:r w:rsidR="005D03C9" w:rsidRPr="005D03C9">
        <w:rPr>
          <w:rFonts w:ascii="Calibri" w:hAnsi="Calibri" w:cs="Calibri"/>
        </w:rPr>
        <w:t>(Goemans, Gleditsch, and Chiozza 2009)</w:t>
      </w:r>
      <w:r w:rsidR="00972D16">
        <w:fldChar w:fldCharType="end"/>
      </w:r>
      <w:r w:rsidR="00EE0DF6">
        <w:t>.</w:t>
      </w:r>
      <w:r w:rsidR="007C1D29">
        <w:t xml:space="preserve"> These end dates are then </w:t>
      </w:r>
      <w:r w:rsidR="007C1D29">
        <w:lastRenderedPageBreak/>
        <w:t xml:space="preserve">compared with electoral changes of power to </w:t>
      </w:r>
      <w:r w:rsidR="004119E2">
        <w:t>separate changes in leadership and changes in party control.</w:t>
      </w:r>
    </w:p>
    <w:p w14:paraId="2D587288" w14:textId="53AF0CBD" w:rsidR="00855A88" w:rsidRPr="00855A88" w:rsidRDefault="00855A88" w:rsidP="00855A88">
      <w:r>
        <w:t xml:space="preserve">For political stability, the Center for Systemic Peace’s Armed Conflict and Intervention project provides additional data in the Major Episodes of Political Violence and PITF State Failure Problem Set sources from 1946-2018 and 1955-2018 respectively. These cover a variety of forms of warfare (intrastate events will be included) and other unstable cases, such as genocide. </w:t>
      </w:r>
      <w:r>
        <w:fldChar w:fldCharType="begin"/>
      </w:r>
      <w:r>
        <w:instrText xml:space="preserve"> ADDIN ZOTERO_ITEM CSL_CITATION {"citationID":"y0OW02p3","properties":{"formattedCitation":"(INSCR Data Page n.d.)","plainCitation":"(INSCR Data Page n.d.)","noteIndex":0},"citationItems":[{"id":280,"uris":["http://zotero.org/users/5939705/items/MXL7RIIQ"],"uri":["http://zotero.org/users/5939705/items/MXL7RIIQ"],"itemData":{"id":280,"type":"webpage","title":"INSCR Data Page","URL":"https://www.systemicpeace.org/inscrdata.html","accessed":{"date-parts":[["2020",1,7]]}}}],"schema":"https://github.com/citation-style-language/schema/raw/master/csl-citation.json"} </w:instrText>
      </w:r>
      <w:r>
        <w:fldChar w:fldCharType="separate"/>
      </w:r>
      <w:r w:rsidRPr="00A560C2">
        <w:rPr>
          <w:rFonts w:ascii="Calibri" w:hAnsi="Calibri" w:cs="Calibri"/>
        </w:rPr>
        <w:t>(INSCR Data Page n.d.)</w:t>
      </w:r>
      <w:r>
        <w:fldChar w:fldCharType="end"/>
      </w:r>
      <w:r>
        <w:t xml:space="preserve"> Finally, as an abstraction from events specifically, I also make use of the World Bank Governance Indicators on Political Stability and Absence of Violence, a constructed index for 1996-2018 in over 200 countries </w:t>
      </w:r>
      <w:r>
        <w:fldChar w:fldCharType="begin"/>
      </w:r>
      <w:r>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fldChar w:fldCharType="separate"/>
      </w:r>
      <w:r w:rsidRPr="00B92537">
        <w:rPr>
          <w:rFonts w:ascii="Calibri" w:hAnsi="Calibri" w:cs="Calibri"/>
        </w:rPr>
        <w:t>(WGI 2019 Interactive &gt; Home n.d.)</w:t>
      </w:r>
      <w:r>
        <w:fldChar w:fldCharType="end"/>
      </w:r>
      <w:r>
        <w:t>.</w:t>
      </w:r>
    </w:p>
    <w:p w14:paraId="3E516641" w14:textId="2A37B953" w:rsidR="006616B3" w:rsidRPr="00FC143B" w:rsidRDefault="005268EB" w:rsidP="00FC143B">
      <w:pPr>
        <w:pStyle w:val="Heading2"/>
      </w:pPr>
      <w:r>
        <w:t>Independent Variables</w:t>
      </w:r>
    </w:p>
    <w:p w14:paraId="0182AAFF" w14:textId="267025F3" w:rsidR="00FC143B" w:rsidRDefault="00FC143B" w:rsidP="002F28E1">
      <w:r>
        <w:t xml:space="preserve">Separation into autocracies and democracies </w:t>
      </w:r>
      <w:r w:rsidR="009656C8">
        <w:t>is provided by the Polity IV index</w:t>
      </w:r>
      <w:r w:rsidR="00B43ECA">
        <w:t xml:space="preserve"> from 1800-2017, specifically the </w:t>
      </w:r>
      <w:r w:rsidR="00247122">
        <w:t xml:space="preserve">polity score, with above zero values being democratic and below autocratic </w:t>
      </w:r>
      <w:r w:rsidR="001C4CF2">
        <w:fldChar w:fldCharType="begin"/>
      </w:r>
      <w:r w:rsidR="00492536">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1C4CF2">
        <w:fldChar w:fldCharType="separate"/>
      </w:r>
      <w:r w:rsidR="00492536" w:rsidRPr="00492536">
        <w:rPr>
          <w:rFonts w:ascii="Calibri" w:hAnsi="Calibri" w:cs="Calibri"/>
        </w:rPr>
        <w:t>(PolityProject n.d.)</w:t>
      </w:r>
      <w:r w:rsidR="001C4CF2">
        <w:fldChar w:fldCharType="end"/>
      </w:r>
      <w:r w:rsidR="00247122">
        <w:t>.</w:t>
      </w:r>
      <w:r w:rsidR="002E1386">
        <w:t xml:space="preserve"> This dataset also provides backup information on regime changes and transitions to verify</w:t>
      </w:r>
      <w:r w:rsidR="00A22657">
        <w:t xml:space="preserve"> instability events.</w:t>
      </w:r>
    </w:p>
    <w:p w14:paraId="18CA7602" w14:textId="36CD6AB0" w:rsidR="00D24E08" w:rsidRDefault="00D24E08" w:rsidP="002F28E1">
      <w:r>
        <w:t>To measure Central Bank Independence</w:t>
      </w:r>
      <w:r w:rsidR="008C46EA">
        <w:t xml:space="preserve"> I use the components of the Cukierman</w:t>
      </w:r>
      <w:r w:rsidR="0011635B">
        <w:t>, Webb, and N</w:t>
      </w:r>
      <w:r w:rsidR="006611B8">
        <w:t xml:space="preserve">eyapty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9E47FC">
        <w:t xml:space="preserve"> The source provides useful data from 1970-2012 for 187 countries.</w:t>
      </w:r>
    </w:p>
    <w:p w14:paraId="4F237C95" w14:textId="24327C54" w:rsidR="00EF1780" w:rsidRDefault="00EF1780" w:rsidP="002F28E1">
      <w:r>
        <w:t xml:space="preserve">For developing and less democratic nations, </w:t>
      </w:r>
      <w:r w:rsidR="000F6BB9">
        <w:t xml:space="preserve">data on de facto, rather than de jure central bank independence is more useful. This is best represented by </w:t>
      </w:r>
      <w:r w:rsidR="007A3E12">
        <w:t>turnover rates for central bank governors</w:t>
      </w:r>
      <w:r w:rsidR="00B72354">
        <w:t xml:space="preserve"> </w:t>
      </w:r>
      <w:r w:rsidR="007A3E12">
        <w:fldChar w:fldCharType="begin"/>
      </w:r>
      <w:r w:rsidR="00B72354">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fldChar w:fldCharType="separate"/>
      </w:r>
      <w:r w:rsidR="00B72354" w:rsidRPr="00B72354">
        <w:rPr>
          <w:rFonts w:ascii="Calibri" w:hAnsi="Calibri" w:cs="Calibri"/>
        </w:rPr>
        <w:t>(Cukierman, Webb, and Neyapti 1992)</w:t>
      </w:r>
      <w:r w:rsidR="007A3E12">
        <w:fldChar w:fldCharType="end"/>
      </w:r>
      <w:r w:rsidR="00206589">
        <w:t xml:space="preserve">, which are given for a number of industrialized and developing </w:t>
      </w:r>
      <w:r w:rsidR="00427F01">
        <w:t>countries from the 1950s to 1980s</w:t>
      </w:r>
      <w:r w:rsidR="00B72354">
        <w:t>.</w:t>
      </w:r>
      <w:r w:rsidR="002B539E">
        <w:t xml:space="preserve"> It may also be possible to obtain more recent evidence constructed from </w:t>
      </w:r>
      <w:r w:rsidR="009B555F">
        <w:t>Morgan Stanley’s 2005 Central Bank Directory</w:t>
      </w:r>
      <w:r w:rsidR="008C2324">
        <w:t xml:space="preserve"> as well as bank websites </w:t>
      </w:r>
      <w:r w:rsidR="00583CA9">
        <w:fldChar w:fldCharType="begin"/>
      </w:r>
      <w:r w:rsidR="002B539E">
        <w:instrText xml:space="preserve"> ADDIN ZOTERO_ITEM CSL_CITATION {"citationID":"DbV0cL7M","properties":{"formattedCitation":"(Crowe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583CA9">
        <w:fldChar w:fldCharType="separate"/>
      </w:r>
      <w:r w:rsidR="002B539E" w:rsidRPr="002B539E">
        <w:rPr>
          <w:rFonts w:ascii="Calibri" w:hAnsi="Calibri" w:cs="Calibri"/>
        </w:rPr>
        <w:t>(Crowe and Meade n.d.)</w:t>
      </w:r>
      <w:r w:rsidR="00583CA9">
        <w:fldChar w:fldCharType="end"/>
      </w:r>
      <w:r w:rsidR="008C2324">
        <w:t>.</w:t>
      </w:r>
    </w:p>
    <w:p w14:paraId="2169D85D" w14:textId="4BD54555"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AC0794">
        <w:t xml:space="preserve">Here the distinction between de jure and de facto arrangements does not appear to be </w:t>
      </w:r>
      <w:r w:rsidR="00397E24">
        <w:t xml:space="preserve">necessary: rate regimes </w:t>
      </w:r>
      <w:r w:rsidR="00F511ED">
        <w:t xml:space="preserve">do not have the same kind of </w:t>
      </w:r>
      <w:r w:rsidR="007F2925">
        <w:t xml:space="preserve">of </w:t>
      </w:r>
      <w:r w:rsidR="00C14208">
        <w:t xml:space="preserve">rule of law or governance basis, so the de facto </w:t>
      </w:r>
      <w:r w:rsidR="009F767E">
        <w:t xml:space="preserve">values are sufficient. </w:t>
      </w:r>
      <w:r w:rsidR="00253C16">
        <w:t>I use their coarse classification cod</w:t>
      </w:r>
      <w:r w:rsidR="007A638E">
        <w:t xml:space="preserve">ing. </w:t>
      </w:r>
      <w:r w:rsidR="00057FA3">
        <w:t>Values of 1 and 2 represent</w:t>
      </w:r>
      <w:r w:rsidR="003934D4">
        <w:t xml:space="preserve"> a lack of </w:t>
      </w:r>
      <w:r w:rsidR="005C6441">
        <w:t xml:space="preserve">own legal tender to </w:t>
      </w:r>
      <w:r w:rsidR="0047172D">
        <w:t xml:space="preserve">a crawling peg: I consider these </w:t>
      </w:r>
      <w:r w:rsidR="000A11FF">
        <w:t>fixed</w:t>
      </w:r>
      <w:r w:rsidR="0047172D">
        <w:t xml:space="preserve">, and other values </w:t>
      </w:r>
      <w:r w:rsidR="000A11FF">
        <w:t xml:space="preserve">3 through 6 as floating. </w:t>
      </w:r>
      <w:r w:rsidR="00057FA3">
        <w:t xml:space="preserve">I also </w:t>
      </w:r>
      <w:r w:rsidR="003A04FB">
        <w:t>check usage of</w:t>
      </w:r>
      <w:r w:rsidR="00434FAF">
        <w:t xml:space="preserve"> numeric values on</w:t>
      </w:r>
      <w:r w:rsidR="003A04FB">
        <w:t xml:space="preserve"> the</w:t>
      </w:r>
      <w:r w:rsidR="00057FA3">
        <w:t xml:space="preserve"> </w:t>
      </w:r>
      <w:r w:rsidR="00FB21D4">
        <w:t>entire scale</w:t>
      </w:r>
      <w:r w:rsidR="00434FAF">
        <w:t>.</w:t>
      </w:r>
    </w:p>
    <w:p w14:paraId="31B0848E" w14:textId="0AEF49D8" w:rsidR="00190415" w:rsidRDefault="00F41732" w:rsidP="00BF3A2C">
      <w:r>
        <w:t xml:space="preserve">For the gross tertiary </w:t>
      </w:r>
      <w:r w:rsidR="00460624">
        <w:t xml:space="preserve">education </w:t>
      </w:r>
      <w:r>
        <w:t>enrollment (%)</w:t>
      </w:r>
      <w:r w:rsidR="00022D00">
        <w:t xml:space="preserve"> instrumental variable,</w:t>
      </w:r>
      <w:r>
        <w:t xml:space="preserve"> </w:t>
      </w:r>
      <w:r w:rsidR="003E600C">
        <w:t>I use global indicators data published by the World Bank</w:t>
      </w:r>
      <w:r w:rsidR="00A71332">
        <w:t xml:space="preserve"> (in turn collected from the </w:t>
      </w:r>
      <w:r w:rsidR="00C432DA">
        <w:t>UNESCO Institute for Statistics)</w:t>
      </w:r>
      <w:r w:rsidR="00016E15">
        <w:t xml:space="preserve"> </w:t>
      </w:r>
      <w:r w:rsidR="004E4F2F">
        <w:fldChar w:fldCharType="begin"/>
      </w:r>
      <w:r w:rsidR="00016E15">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fldChar w:fldCharType="separate"/>
      </w:r>
      <w:r w:rsidR="00016E15" w:rsidRPr="00016E15">
        <w:rPr>
          <w:rFonts w:ascii="Calibri" w:hAnsi="Calibri" w:cs="Calibri"/>
        </w:rPr>
        <w:t>(School enrollment, tertiary (% gross) | Data n.d.)</w:t>
      </w:r>
      <w:r w:rsidR="004E4F2F">
        <w:fldChar w:fldCharType="end"/>
      </w:r>
      <w:r>
        <w:t>.</w:t>
      </w:r>
      <w:r w:rsidR="00653E2A">
        <w:t xml:space="preserve"> </w:t>
      </w:r>
      <w:r w:rsidR="003741A1" w:rsidRPr="003741A1">
        <w:t>At this point it i</w:t>
      </w:r>
      <w:r w:rsidR="003741A1">
        <w:t xml:space="preserve">s important to note the usage of </w:t>
      </w:r>
      <w:r w:rsidR="00BF3A2C" w:rsidRPr="003741A1">
        <w:t>percentage</w:t>
      </w:r>
      <w:r w:rsidR="003741A1">
        <w:t>s for enrollment</w:t>
      </w:r>
      <w:r w:rsidR="00BF3A2C" w:rsidRPr="003741A1">
        <w:t xml:space="preserve"> versus absolute levels</w:t>
      </w:r>
      <w:r w:rsidR="003741A1">
        <w:t xml:space="preserve">. It could be argued that a country only needs a certain raw number of </w:t>
      </w:r>
      <w:r w:rsidR="003605C7">
        <w:t>tertiary graduates before it is cable of running an independent central bank.</w:t>
      </w:r>
      <w:r w:rsidR="001D2873">
        <w:t xml:space="preserve"> </w:t>
      </w:r>
      <w:r w:rsidR="0043500E">
        <w:t xml:space="preserve">First, </w:t>
      </w:r>
      <w:r w:rsidR="00FF42A8">
        <w:t>more populous nations may require more central bank staff. This may be particularly relevant</w:t>
      </w:r>
      <w:r w:rsidR="00E32A47">
        <w:t xml:space="preserve"> when one considers the example of the system of </w:t>
      </w:r>
      <w:r w:rsidR="000204BB">
        <w:t>regional Federal Reserve Banks in the United States.</w:t>
      </w:r>
      <w:r w:rsidR="001D2873">
        <w:t xml:space="preserve"> </w:t>
      </w:r>
      <w:r w:rsidR="00190415">
        <w:t xml:space="preserve">Next, the </w:t>
      </w:r>
      <w:r w:rsidR="003A3E95">
        <w:t xml:space="preserve">use of percentages better accounts for the actual availability of graduates for </w:t>
      </w:r>
      <w:r w:rsidR="000174C7">
        <w:t>service to the central bank.</w:t>
      </w:r>
      <w:r w:rsidR="00863514">
        <w:t xml:space="preserve"> Tertiary graduates are assumed to have </w:t>
      </w:r>
      <w:r w:rsidR="001D2873">
        <w:t>a choice between occupations in the government or private sector</w:t>
      </w:r>
      <w:r w:rsidR="00CF5D86">
        <w:t xml:space="preserve">; raw numbers </w:t>
      </w:r>
      <w:r w:rsidR="00BE3A4D">
        <w:t xml:space="preserve">do not necessarily </w:t>
      </w:r>
      <w:r w:rsidR="00B33AA6">
        <w:t xml:space="preserve">mean more </w:t>
      </w:r>
      <w:r w:rsidR="009658E4">
        <w:t>expertise available</w:t>
      </w:r>
      <w:r w:rsidR="00267809">
        <w:t xml:space="preserve">, </w:t>
      </w:r>
      <w:r w:rsidR="00F95F7D">
        <w:t xml:space="preserve">and a large educated share of the populace </w:t>
      </w:r>
      <w:r w:rsidR="00357833">
        <w:t>provides a better proxy</w:t>
      </w:r>
      <w:r w:rsidR="001D2873">
        <w:t>.</w:t>
      </w:r>
    </w:p>
    <w:p w14:paraId="713B63DB" w14:textId="66E33696" w:rsidR="00C538C6" w:rsidRDefault="00EC3D63" w:rsidP="00BF3A2C">
      <w:r>
        <w:lastRenderedPageBreak/>
        <w:t>As mentioned above, for the secondary instrument of social sciences and business graduates</w:t>
      </w:r>
      <w:r w:rsidR="004775E3">
        <w:t xml:space="preserve"> I make use of OECD data provided from 2005-2017</w:t>
      </w:r>
      <w:r w:rsidR="009337DE">
        <w:t>. This is available for X countries</w:t>
      </w:r>
      <w:r w:rsidR="004775E3">
        <w:t>.</w:t>
      </w:r>
      <w:r w:rsidR="004B5ADC">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764029C5" w14:textId="75C9C9AF" w:rsidR="00984855" w:rsidRDefault="00653E2A" w:rsidP="00BF3A2C">
      <w:r>
        <w:t>Any exchange rate regime instrumental variable data source discussed here</w:t>
      </w:r>
    </w:p>
    <w:p w14:paraId="24170990" w14:textId="7479D1D5" w:rsidR="004C58B8" w:rsidRDefault="00984855" w:rsidP="00BF3A2C">
      <w:r>
        <w:t>Any controls</w:t>
      </w:r>
    </w:p>
    <w:p w14:paraId="6380341F" w14:textId="45640D13" w:rsidR="00004AD1" w:rsidRDefault="00004AD1" w:rsidP="002930AA">
      <w:pPr>
        <w:pStyle w:val="Heading1"/>
      </w:pPr>
      <w:r>
        <w:t>Results</w:t>
      </w:r>
    </w:p>
    <w:p w14:paraId="2A56799B" w14:textId="6B3B35BB" w:rsidR="003D2A95" w:rsidRDefault="003D2A95" w:rsidP="00BF3A2C">
      <w:r>
        <w:t xml:space="preserve">All </w:t>
      </w:r>
      <w:r w:rsidR="00EE2557">
        <w:t xml:space="preserve">of the following regressions were performed with </w:t>
      </w:r>
      <w:r>
        <w:t>robust</w:t>
      </w:r>
      <w:r w:rsidR="00EE2557">
        <w:t xml:space="preserve"> </w:t>
      </w:r>
      <w:r w:rsidR="008063D5">
        <w:t xml:space="preserve">and clustered standard errors. We expect levels of variation in stability or </w:t>
      </w:r>
      <w:r w:rsidR="001956FC">
        <w:t xml:space="preserve">number of </w:t>
      </w:r>
      <w:r w:rsidR="008063D5">
        <w:t>turnover events to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A9F04F" w14:textId="276BA08B" w:rsidR="00753121" w:rsidRDefault="00905331" w:rsidP="00BF3A2C">
      <w:r>
        <w:t>Panel</w:t>
      </w:r>
      <w:r w:rsidR="00753121">
        <w:t xml:space="preserve"> of Democracies</w:t>
      </w:r>
    </w:p>
    <w:p w14:paraId="66FAB47C" w14:textId="08E5C8FD" w:rsidR="00043DC6" w:rsidRDefault="00B84540" w:rsidP="00BF3A2C">
      <w:r>
        <w:t xml:space="preserve">Fixed Effects Regression effect of CBI on </w:t>
      </w:r>
      <w:r w:rsidR="00D1259D">
        <w:t xml:space="preserve">probability of </w:t>
      </w:r>
      <w:r w:rsidR="00AE3C9B">
        <w:t>election turnover</w:t>
      </w:r>
    </w:p>
    <w:p w14:paraId="725C4C94" w14:textId="1AC04D10" w:rsidR="00AE3C9B" w:rsidRDefault="00CC7D71" w:rsidP="00BF3A2C">
      <w:r>
        <w:t>Arellano Bond of the same</w:t>
      </w:r>
    </w:p>
    <w:p w14:paraId="5E5931D5" w14:textId="1CF68AB6" w:rsidR="00CC7D71" w:rsidRDefault="00B14229" w:rsidP="00BF3A2C">
      <w:r>
        <w:t>Instrument</w:t>
      </w:r>
    </w:p>
    <w:p w14:paraId="1ED70A9C" w14:textId="77777777" w:rsidR="00C74AB5" w:rsidRDefault="00C74AB5" w:rsidP="00C74AB5">
      <w:pPr>
        <w:pStyle w:val="ListParagraph"/>
        <w:numPr>
          <w:ilvl w:val="2"/>
          <w:numId w:val="1"/>
        </w:numPr>
        <w:ind w:left="360"/>
      </w:pPr>
      <w:r>
        <w:t>Tertiary Education instrument: Appears to have a good first stage for CBI, lvaw_garriga and lvau_garriga give pvals of 0, F of 500-600, robust</w:t>
      </w:r>
    </w:p>
    <w:p w14:paraId="3ABEBF84" w14:textId="77777777" w:rsidR="003A6DEA" w:rsidRDefault="003A6DEA" w:rsidP="00C74AB5">
      <w:pPr>
        <w:pStyle w:val="ListParagraph"/>
        <w:numPr>
          <w:ilvl w:val="3"/>
          <w:numId w:val="1"/>
        </w:numPr>
        <w:ind w:left="1080"/>
      </w:pPr>
      <w:r>
        <w:t>Note: I did this on a somewhat small subset of countries that matched in Stata, will need to do a lot of fixing to get a full sample working</w:t>
      </w:r>
    </w:p>
    <w:p w14:paraId="42C5F150" w14:textId="77777777" w:rsidR="003A6DEA" w:rsidRDefault="003A6DEA" w:rsidP="00C74AB5">
      <w:pPr>
        <w:pStyle w:val="ListParagraph"/>
        <w:numPr>
          <w:ilvl w:val="3"/>
          <w:numId w:val="1"/>
        </w:numPr>
        <w:ind w:left="1080"/>
      </w:pPr>
      <w:r>
        <w:t>Coeff of like 0.003 units on the CBI scale</w:t>
      </w:r>
    </w:p>
    <w:p w14:paraId="3EC7530B" w14:textId="77777777" w:rsidR="003A6DEA" w:rsidRDefault="003A6DEA" w:rsidP="00C74AB5">
      <w:pPr>
        <w:pStyle w:val="ListParagraph"/>
        <w:numPr>
          <w:ilvl w:val="3"/>
          <w:numId w:val="1"/>
        </w:numPr>
        <w:ind w:left="1080"/>
      </w:pPr>
      <w:r>
        <w:t>Time and country fixed effects still leave a significant relationship</w:t>
      </w:r>
    </w:p>
    <w:p w14:paraId="39341A05" w14:textId="242FD069" w:rsidR="003A6DEA" w:rsidRPr="003D58F3" w:rsidRDefault="003A6DEA" w:rsidP="00BF3A2C">
      <w:pPr>
        <w:pStyle w:val="ListParagraph"/>
        <w:numPr>
          <w:ilvl w:val="3"/>
          <w:numId w:val="1"/>
        </w:numPr>
        <w:ind w:left="1080"/>
      </w:pPr>
      <w:r>
        <w:t>Spurious regression?</w:t>
      </w:r>
    </w:p>
    <w:p w14:paraId="76A21891" w14:textId="0D06007B" w:rsidR="00705D0F" w:rsidRDefault="00705D0F" w:rsidP="00BF3A2C">
      <w:r>
        <w:t>Check and develop binary classification</w:t>
      </w:r>
      <w:r w:rsidR="003D55CB">
        <w:t xml:space="preserve"> for independent or no</w:t>
      </w:r>
      <w:r>
        <w:t>, repeat</w:t>
      </w:r>
    </w:p>
    <w:p w14:paraId="7FF69AD4" w14:textId="49F3B9DD" w:rsidR="00544612" w:rsidRDefault="00544612" w:rsidP="00544612">
      <w:r>
        <w:t>Fixed Effects Regression effect of Fixed Exchange Rate on probability of election turnover</w:t>
      </w:r>
    </w:p>
    <w:p w14:paraId="329EBE1D" w14:textId="77777777" w:rsidR="00544612" w:rsidRDefault="00544612" w:rsidP="00544612">
      <w:r>
        <w:t>Arellano Bond of the same</w:t>
      </w:r>
    </w:p>
    <w:p w14:paraId="0EF02532" w14:textId="0D2FB510" w:rsidR="00544612" w:rsidRDefault="00544612" w:rsidP="00544612">
      <w:r>
        <w:t>Instrument</w:t>
      </w:r>
    </w:p>
    <w:p w14:paraId="7A41D7E3" w14:textId="754C7439" w:rsidR="00705D0F" w:rsidRDefault="00705D0F" w:rsidP="00544612">
      <w:r>
        <w:t xml:space="preserve">Check and develop binary classification for </w:t>
      </w:r>
      <w:r w:rsidR="003D55CB">
        <w:t>fixed rate, repeat</w:t>
      </w:r>
    </w:p>
    <w:p w14:paraId="747D24B8" w14:textId="1F8CE6A4" w:rsidR="00544612" w:rsidRDefault="00544612" w:rsidP="00BF3A2C">
      <w:r>
        <w:t>Combined model</w:t>
      </w:r>
      <w:r w:rsidR="00036046">
        <w:t>- interact independence and fixed rate regime scale</w:t>
      </w:r>
    </w:p>
    <w:p w14:paraId="5D72EBEA" w14:textId="1DF1F67C" w:rsidR="00C702E3" w:rsidRDefault="00C702E3" w:rsidP="00BF3A2C">
      <w:r>
        <w:t>Fixed Effects</w:t>
      </w:r>
    </w:p>
    <w:p w14:paraId="6689C1F2" w14:textId="63A558B6" w:rsidR="00C702E3" w:rsidRDefault="00C702E3" w:rsidP="00BF3A2C">
      <w:r>
        <w:t>Arellano Bond</w:t>
      </w:r>
    </w:p>
    <w:p w14:paraId="59493254" w14:textId="1BC615D1" w:rsidR="00B77AA8" w:rsidRDefault="00B77AA8" w:rsidP="00BF3A2C">
      <w:r>
        <w:t>Both instruments</w:t>
      </w:r>
    </w:p>
    <w:p w14:paraId="193FBAA3" w14:textId="05F71708" w:rsidR="00036046" w:rsidRDefault="00036046" w:rsidP="00BF3A2C">
      <w:r>
        <w:lastRenderedPageBreak/>
        <w:t>Binary for fixed rate OR independent</w:t>
      </w:r>
      <w:r w:rsidR="007613B5">
        <w:t xml:space="preserve"> CB (use binaries from earlier)</w:t>
      </w:r>
      <w:r w:rsidR="00C2323A">
        <w:t>, repeat</w:t>
      </w:r>
    </w:p>
    <w:p w14:paraId="4DC5D442" w14:textId="3E474280" w:rsidR="00AE3C9B" w:rsidRPr="003741A1" w:rsidRDefault="00AE3C9B" w:rsidP="00BF3A2C">
      <w:r>
        <w:t>Panel of Autocracies</w:t>
      </w:r>
    </w:p>
    <w:p w14:paraId="739ACC36" w14:textId="29CEBD76" w:rsidR="00E14844" w:rsidRDefault="00E14844" w:rsidP="00D64175">
      <w:pPr>
        <w:rPr>
          <w:lang w:val="en-GB"/>
        </w:rPr>
      </w:pPr>
      <w:r>
        <w:rPr>
          <w:lang w:val="en-GB"/>
        </w:rPr>
        <w:t>Other controls</w:t>
      </w:r>
      <w:r w:rsidR="00D64175">
        <w:rPr>
          <w:lang w:val="en-GB"/>
        </w:rPr>
        <w:t xml:space="preserve">- </w:t>
      </w:r>
      <w:r>
        <w:rPr>
          <w:lang w:val="en-GB"/>
        </w:rPr>
        <w:t>Parliamentary System</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r>
        <w:rPr>
          <w:lang w:val="en-GB"/>
        </w:rPr>
        <w:t>Evaluate the results</w:t>
      </w:r>
    </w:p>
    <w:p w14:paraId="530A5B2A" w14:textId="5904B510" w:rsidR="00A549AB" w:rsidRDefault="00A549AB" w:rsidP="003A6DEA">
      <w:pPr>
        <w:rPr>
          <w:lang w:val="en-GB"/>
        </w:rPr>
      </w:pPr>
      <w:r>
        <w:rPr>
          <w:lang w:val="en-GB"/>
        </w:rPr>
        <w:t>Implications: which theoretical chunks are best supported</w:t>
      </w:r>
    </w:p>
    <w:p w14:paraId="76FA1D63" w14:textId="4EEA7B0C"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76269BD8" w14:textId="451BE195" w:rsidR="00233E98" w:rsidRDefault="00233E98" w:rsidP="009D1522">
      <w:r>
        <w:t>If there was evidence CBI affected turnover</w:t>
      </w:r>
      <w:r w:rsidR="009066DF">
        <w:t xml:space="preserve"> after the instrument: issues for Cukierman, de Haan, etc.?</w:t>
      </w:r>
      <w:r w:rsidR="00214283">
        <w:t xml:space="preserve"> Reverse causal problems for the reverse causal argument!</w:t>
      </w:r>
    </w:p>
    <w:p w14:paraId="423C2811" w14:textId="28D012CE" w:rsidR="009A677E" w:rsidRPr="00EF1E02"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31D7AAA4" w14:textId="77777777" w:rsidR="00B43ECA" w:rsidRDefault="00A74915" w:rsidP="00B43ECA">
      <w:pPr>
        <w:pStyle w:val="Bibliography"/>
      </w:pPr>
      <w:r>
        <w:fldChar w:fldCharType="begin"/>
      </w:r>
      <w:r w:rsidR="00195EE9">
        <w:instrText xml:space="preserve"> ADDIN ZOTERO_BIBL {"uncited":[],"omitted":[],"custom":[]} CSL_BIBLIOGRAPHY </w:instrText>
      </w:r>
      <w:r>
        <w:fldChar w:fldCharType="separate"/>
      </w:r>
      <w:r w:rsidR="00B43ECA">
        <w:t xml:space="preserve">Alesina, Alberto, and Roberto Perotti. 1993. </w:t>
      </w:r>
      <w:r w:rsidR="00B43ECA">
        <w:rPr>
          <w:i/>
          <w:iCs/>
        </w:rPr>
        <w:t>Income Distribution, Political Instability, and Investment</w:t>
      </w:r>
      <w:r w:rsidR="00B43ECA">
        <w:t>. National Bureau of Economic Research. Working Paper. http://www.nber.org/papers/w4486 (January 4, 2020).</w:t>
      </w:r>
    </w:p>
    <w:p w14:paraId="39BA2946" w14:textId="77777777" w:rsidR="00B43ECA" w:rsidRDefault="00B43ECA" w:rsidP="00B43ECA">
      <w:pPr>
        <w:pStyle w:val="Bibliography"/>
      </w:pPr>
      <w:r>
        <w:t xml:space="preserve">Alesina, Alberto, Nouriel Roubini, and Gerald D. Cohen. 1997. </w:t>
      </w:r>
      <w:r>
        <w:rPr>
          <w:i/>
          <w:iCs/>
        </w:rPr>
        <w:t>Political Cycles and the Macroeconomy</w:t>
      </w:r>
      <w:r>
        <w:t>. Cambridge, Mass: MIT Press.</w:t>
      </w:r>
    </w:p>
    <w:p w14:paraId="35CE3826" w14:textId="77777777" w:rsidR="00B43ECA" w:rsidRDefault="00B43ECA" w:rsidP="00B43ECA">
      <w:pPr>
        <w:pStyle w:val="Bibliography"/>
      </w:pPr>
      <w:r>
        <w:t>Anderson, Christopher J. 2007. ‘The End of Economic Voting? Contingency Dilemmas and the Limits of Democratic Accountability’.</w:t>
      </w:r>
    </w:p>
    <w:p w14:paraId="434CDBDA" w14:textId="77777777" w:rsidR="00B43ECA" w:rsidRDefault="00B43ECA" w:rsidP="00B43ECA">
      <w:pPr>
        <w:pStyle w:val="Bibliography"/>
      </w:pPr>
      <w:r>
        <w:t xml:space="preserve">Arellano, Manuel, and Stephen Bond. 1991. ‘Some Tests of Specification for Panel Data: Monte Carlo Evidence and an Application to Employment Equations’. </w:t>
      </w:r>
      <w:r>
        <w:rPr>
          <w:i/>
          <w:iCs/>
        </w:rPr>
        <w:t>The Review of Economic Studies</w:t>
      </w:r>
      <w:r>
        <w:t xml:space="preserve"> 58(2): 277.</w:t>
      </w:r>
    </w:p>
    <w:p w14:paraId="769B100F" w14:textId="77777777" w:rsidR="00B43ECA" w:rsidRDefault="00B43ECA" w:rsidP="00B43ECA">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35C415CC" w14:textId="77777777" w:rsidR="00B43ECA" w:rsidRDefault="00B43ECA" w:rsidP="00B43ECA">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E8500CF" w14:textId="77777777" w:rsidR="00B43ECA" w:rsidRDefault="00B43ECA" w:rsidP="00B43ECA">
      <w:pPr>
        <w:pStyle w:val="Bibliography"/>
      </w:pPr>
      <w:r>
        <w:t xml:space="preserve">Bernhard, William, and David Leblang. 2002. ‘Political Parties and Monetary Commitments’. </w:t>
      </w:r>
      <w:r>
        <w:rPr>
          <w:i/>
          <w:iCs/>
        </w:rPr>
        <w:t>International Organization</w:t>
      </w:r>
      <w:r>
        <w:t xml:space="preserve"> 56(4): 803–30.</w:t>
      </w:r>
    </w:p>
    <w:p w14:paraId="0F7CECE7" w14:textId="77777777" w:rsidR="00B43ECA" w:rsidRDefault="00B43ECA" w:rsidP="00B43ECA">
      <w:pPr>
        <w:pStyle w:val="Bibliography"/>
      </w:pPr>
      <w:r>
        <w:t xml:space="preserve">Blomberg, S Brock, Jeffry Frieden, and Ernesto Stein. ‘SUSTAINING FIXED RATES: THE POLITICAL ECONOMY OF CURRENCY PEGS IN LATIN AMERICA’. </w:t>
      </w:r>
      <w:r>
        <w:rPr>
          <w:i/>
          <w:iCs/>
        </w:rPr>
        <w:t>JOURNAL OF APPLIED ECONOMICS</w:t>
      </w:r>
      <w:r>
        <w:t>: 23.</w:t>
      </w:r>
    </w:p>
    <w:p w14:paraId="46991C61" w14:textId="77777777" w:rsidR="00B43ECA" w:rsidRDefault="00B43ECA" w:rsidP="00B43ECA">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7AE2937F" w14:textId="77777777" w:rsidR="00B43ECA" w:rsidRDefault="00B43ECA" w:rsidP="00B43ECA">
      <w:pPr>
        <w:pStyle w:val="Bibliography"/>
      </w:pPr>
      <w:r>
        <w:t xml:space="preserve">Broz, J. Lawrence. 2002. ‘Political System Transparency and Monetary Commitment Regimes’. </w:t>
      </w:r>
      <w:r>
        <w:rPr>
          <w:i/>
          <w:iCs/>
        </w:rPr>
        <w:t>International Organization</w:t>
      </w:r>
      <w:r>
        <w:t xml:space="preserve"> 56(4): 861–87.</w:t>
      </w:r>
    </w:p>
    <w:p w14:paraId="61415C4E" w14:textId="77777777" w:rsidR="00B43ECA" w:rsidRDefault="00B43ECA" w:rsidP="00B43ECA">
      <w:pPr>
        <w:pStyle w:val="Bibliography"/>
      </w:pPr>
      <w:r>
        <w:t xml:space="preserve">‘Can Trump Fire Fed Chair Jerome Powell? What History Tells Us’. </w:t>
      </w:r>
      <w:r>
        <w:rPr>
          <w:i/>
          <w:iCs/>
        </w:rPr>
        <w:t>Fortune</w:t>
      </w:r>
      <w:r>
        <w:t>. https://fortune.com/2019/06/19/can-trump-fire-jerome-powell/ (January 8, 2020).</w:t>
      </w:r>
    </w:p>
    <w:p w14:paraId="237F0F34" w14:textId="77777777" w:rsidR="00B43ECA" w:rsidRDefault="00B43ECA" w:rsidP="00B43ECA">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5C7702D3" w14:textId="77777777" w:rsidR="00B43ECA" w:rsidRDefault="00B43ECA" w:rsidP="00B43ECA">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5CB436B0" w14:textId="77777777" w:rsidR="00B43ECA" w:rsidRDefault="00B43ECA" w:rsidP="00B43ECA">
      <w:pPr>
        <w:pStyle w:val="Bibliography"/>
      </w:pPr>
      <w:r>
        <w:lastRenderedPageBreak/>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08A2D635" w14:textId="77777777" w:rsidR="00B43ECA" w:rsidRDefault="00B43ECA" w:rsidP="00B43ECA">
      <w:pPr>
        <w:pStyle w:val="Bibliography"/>
      </w:pPr>
      <w:r>
        <w:t xml:space="preserve">correspondentEmailEmailBioBioFollowFollow, Heather Long closeHeather LongEconomics.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6A0061AE" w14:textId="77777777" w:rsidR="00B43ECA" w:rsidRDefault="00B43ECA" w:rsidP="00B43ECA">
      <w:pPr>
        <w:pStyle w:val="Bibliography"/>
      </w:pPr>
      <w:r>
        <w:t>Crowe, Christopher, and Ellen E Meade. ‘Central Bank Independence and Transparency: Evolution and Effectiveness’. : 30.</w:t>
      </w:r>
    </w:p>
    <w:p w14:paraId="2BB0336B" w14:textId="77777777" w:rsidR="00B43ECA" w:rsidRDefault="00B43ECA" w:rsidP="00B43ECA">
      <w:pPr>
        <w:pStyle w:val="Bibliography"/>
      </w:pPr>
      <w:r>
        <w:t xml:space="preserve">Cukierman, Alex. 1992. </w:t>
      </w:r>
      <w:r>
        <w:rPr>
          <w:i/>
          <w:iCs/>
        </w:rPr>
        <w:t>Central Bank Strategy, Credibility, and Independence: Theory and Evidence</w:t>
      </w:r>
      <w:r>
        <w:t>. Cambridge, Mass: MIT Press.</w:t>
      </w:r>
    </w:p>
    <w:p w14:paraId="21B1563B" w14:textId="77777777" w:rsidR="00B43ECA" w:rsidRDefault="00B43ECA" w:rsidP="00B43ECA">
      <w:pPr>
        <w:pStyle w:val="Bibliography"/>
      </w:pPr>
      <w:r>
        <w:t xml:space="preserve">Cukierman, Alex, and Steven B. Webb. 1995. ‘Political Influence on the Central Bank: International Evidence’. </w:t>
      </w:r>
      <w:r>
        <w:rPr>
          <w:i/>
          <w:iCs/>
        </w:rPr>
        <w:t>The World Bank Economic Review</w:t>
      </w:r>
      <w:r>
        <w:t xml:space="preserve"> 9(3): 397–423.</w:t>
      </w:r>
    </w:p>
    <w:p w14:paraId="2B45DE6A" w14:textId="77777777" w:rsidR="00B43ECA" w:rsidRDefault="00B43ECA" w:rsidP="00B43ECA">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32725F33" w14:textId="77777777" w:rsidR="00B43ECA" w:rsidRDefault="00B43ECA" w:rsidP="00B43ECA">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68BB076F" w14:textId="77777777" w:rsidR="00B43ECA" w:rsidRDefault="00B43ECA" w:rsidP="00B43ECA">
      <w:pPr>
        <w:pStyle w:val="Bibliography"/>
      </w:pPr>
      <w:r>
        <w:t xml:space="preserve">Downs, Anthony. 1957. ‘An Economic Theory of Political Action in a Democracy’. </w:t>
      </w:r>
      <w:r>
        <w:rPr>
          <w:i/>
          <w:iCs/>
        </w:rPr>
        <w:t>Journal of Political Economy</w:t>
      </w:r>
      <w:r>
        <w:t xml:space="preserve"> 65(2): 135–50.</w:t>
      </w:r>
    </w:p>
    <w:p w14:paraId="6A191A58" w14:textId="77777777" w:rsidR="00B43ECA" w:rsidRDefault="00B43ECA" w:rsidP="00B43ECA">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601486D2" w14:textId="77777777" w:rsidR="00B43ECA" w:rsidRDefault="00B43ECA" w:rsidP="00B43ECA">
      <w:pPr>
        <w:pStyle w:val="Bibliography"/>
      </w:pPr>
      <w:r>
        <w:t xml:space="preserve">Eijffinger, Sylvester C. W., and Jakob de Haan. 1996. </w:t>
      </w:r>
      <w:r>
        <w:rPr>
          <w:i/>
          <w:iCs/>
        </w:rPr>
        <w:t>The Political Economy of Central-Bank Independence</w:t>
      </w:r>
      <w:r>
        <w:t>. Princeton, N.J: International Finance Section, Dept. of Economics, Princeton University.</w:t>
      </w:r>
    </w:p>
    <w:p w14:paraId="0E8512DD" w14:textId="77777777" w:rsidR="00B43ECA" w:rsidRDefault="00B43ECA" w:rsidP="00B43ECA">
      <w:pPr>
        <w:pStyle w:val="Bibliography"/>
      </w:pPr>
      <w:r>
        <w:t xml:space="preserve">Fels, Joachim. ‘The Downside of Central Bank Independence’. </w:t>
      </w:r>
      <w:r>
        <w:rPr>
          <w:i/>
          <w:iCs/>
        </w:rPr>
        <w:t>Pacific Investment Management Company LLC</w:t>
      </w:r>
      <w:r>
        <w:t>. https://www.pimco.com/en-us/insights/economic-and-market-commentary/macro-perspectives/the-downside-of-central-bank-independence (January 11, 2020).</w:t>
      </w:r>
    </w:p>
    <w:p w14:paraId="22316355" w14:textId="77777777" w:rsidR="00B43ECA" w:rsidRDefault="00B43ECA" w:rsidP="00B43ECA">
      <w:pPr>
        <w:pStyle w:val="Bibliography"/>
      </w:pPr>
      <w:r w:rsidRPr="00B43ECA">
        <w:rPr>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5BBC6C73" w14:textId="77777777" w:rsidR="00B43ECA" w:rsidRDefault="00B43ECA" w:rsidP="00B43ECA">
      <w:pPr>
        <w:pStyle w:val="Bibliography"/>
      </w:pPr>
      <w:r>
        <w:t xml:space="preserve">Fortunato, David, and Matt W. Loftis. 2018. ‘Cabinet Durability and Fiscal Discipline’. </w:t>
      </w:r>
      <w:r>
        <w:rPr>
          <w:i/>
          <w:iCs/>
        </w:rPr>
        <w:t>American Political Science Review</w:t>
      </w:r>
      <w:r>
        <w:t xml:space="preserve"> 112(4): 939–53.</w:t>
      </w:r>
    </w:p>
    <w:p w14:paraId="669956EF" w14:textId="77777777" w:rsidR="00B43ECA" w:rsidRDefault="00B43ECA" w:rsidP="00B43ECA">
      <w:pPr>
        <w:pStyle w:val="Bibliography"/>
      </w:pPr>
      <w:r>
        <w:lastRenderedPageBreak/>
        <w:t xml:space="preserve">Frey, Bruno S., and Friedrich Schneider. 1978. ‘An Empirical Study of Politico-Economic Interaction in the United States’. </w:t>
      </w:r>
      <w:r>
        <w:rPr>
          <w:i/>
          <w:iCs/>
        </w:rPr>
        <w:t>The Review of Economics and Statistics</w:t>
      </w:r>
      <w:r>
        <w:t xml:space="preserve"> 60(2): 174–83.</w:t>
      </w:r>
    </w:p>
    <w:p w14:paraId="23A902E4" w14:textId="77777777" w:rsidR="00B43ECA" w:rsidRDefault="00B43ECA" w:rsidP="00B43ECA">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25E0A62B" w14:textId="77777777" w:rsidR="00B43ECA" w:rsidRDefault="00B43ECA" w:rsidP="00B43ECA">
      <w:pPr>
        <w:pStyle w:val="Bibliography"/>
      </w:pPr>
      <w:r>
        <w:t xml:space="preserve">Garriga, Ana Carolina. 2016. ‘Central Bank Independence in the World: A New Data Set’. </w:t>
      </w:r>
      <w:r>
        <w:rPr>
          <w:i/>
          <w:iCs/>
        </w:rPr>
        <w:t>International Interactions</w:t>
      </w:r>
      <w:r>
        <w:t>.</w:t>
      </w:r>
    </w:p>
    <w:p w14:paraId="36538215" w14:textId="77777777" w:rsidR="00B43ECA" w:rsidRDefault="00B43ECA" w:rsidP="00B43ECA">
      <w:pPr>
        <w:pStyle w:val="Bibliography"/>
      </w:pPr>
      <w:r>
        <w:t xml:space="preserve">Goemans, Henk E., Kristian Skrede Gleditsch, and Giacomo Chiozza. 2009. ‘Introducing Archigos: A Dataset of Political Leaders’. </w:t>
      </w:r>
      <w:r>
        <w:rPr>
          <w:i/>
          <w:iCs/>
        </w:rPr>
        <w:t>Journal of Peace Research</w:t>
      </w:r>
      <w:r>
        <w:t xml:space="preserve"> 46(2): 269–83.</w:t>
      </w:r>
    </w:p>
    <w:p w14:paraId="3CB23DE4" w14:textId="77777777" w:rsidR="00B43ECA" w:rsidRDefault="00B43ECA" w:rsidP="00B43ECA">
      <w:pPr>
        <w:pStyle w:val="Bibliography"/>
      </w:pPr>
      <w:r>
        <w:t xml:space="preserve">Goodman, John B. 1991. ‘The Politics of Central Bank Independence’. </w:t>
      </w:r>
      <w:r>
        <w:rPr>
          <w:i/>
          <w:iCs/>
        </w:rPr>
        <w:t>Comparative Politics</w:t>
      </w:r>
      <w:r>
        <w:t xml:space="preserve"> 23(3): 329–49.</w:t>
      </w:r>
    </w:p>
    <w:p w14:paraId="1CFD1AA3" w14:textId="77777777" w:rsidR="00B43ECA" w:rsidRDefault="00B43ECA" w:rsidP="00B43ECA">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34F3ABA5" w14:textId="77777777" w:rsidR="00B43ECA" w:rsidRDefault="00B43ECA" w:rsidP="00B43ECA">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030C96E9" w14:textId="77777777" w:rsidR="00B43ECA" w:rsidRDefault="00B43ECA" w:rsidP="00B43ECA">
      <w:pPr>
        <w:pStyle w:val="Bibliography"/>
      </w:pPr>
      <w:r>
        <w:t xml:space="preserve">Hall, Peter A., and Robert J. Franzese. 1998. ‘Mixed Signals: Central Bank Independence, Coordinated Wage Bargaining, and European Monetary Union’. </w:t>
      </w:r>
      <w:r>
        <w:rPr>
          <w:i/>
          <w:iCs/>
        </w:rPr>
        <w:t>International Organization</w:t>
      </w:r>
      <w:r>
        <w:t xml:space="preserve"> 52(3): 505–35.</w:t>
      </w:r>
    </w:p>
    <w:p w14:paraId="15062471" w14:textId="77777777" w:rsidR="00B43ECA" w:rsidRDefault="00B43ECA" w:rsidP="00B43ECA">
      <w:pPr>
        <w:pStyle w:val="Bibliography"/>
      </w:pPr>
      <w:r>
        <w:t xml:space="preserve">Hibbs Jr, Douglas. 1973. 7 </w:t>
      </w:r>
      <w:r>
        <w:rPr>
          <w:i/>
          <w:iCs/>
        </w:rPr>
        <w:t>Mass Political Violence: A Cross-National Causal Analysis</w:t>
      </w:r>
      <w:r>
        <w:t>.</w:t>
      </w:r>
    </w:p>
    <w:p w14:paraId="27B0B495" w14:textId="77777777" w:rsidR="00B43ECA" w:rsidRDefault="00B43ECA" w:rsidP="00B43ECA">
      <w:pPr>
        <w:pStyle w:val="Bibliography"/>
      </w:pPr>
      <w:r>
        <w:t xml:space="preserve">Huntington, Samuel P. 1976. </w:t>
      </w:r>
      <w:r>
        <w:rPr>
          <w:i/>
          <w:iCs/>
        </w:rPr>
        <w:t>Political Order in Changing Societies</w:t>
      </w:r>
      <w:r>
        <w:t>. 11. printing. New Haven: Yale Univ. Press.</w:t>
      </w:r>
    </w:p>
    <w:p w14:paraId="410C8515" w14:textId="77777777" w:rsidR="00B43ECA" w:rsidRDefault="00B43ECA" w:rsidP="00B43ECA">
      <w:pPr>
        <w:pStyle w:val="Bibliography"/>
      </w:pPr>
      <w:r>
        <w:t>‘INSCR Data Page’. https://www.systemicpeace.org/inscrdata.html (January 7, 2020).</w:t>
      </w:r>
    </w:p>
    <w:p w14:paraId="185A3F03" w14:textId="77777777" w:rsidR="00B43ECA" w:rsidRDefault="00B43ECA" w:rsidP="00B43ECA">
      <w:pPr>
        <w:pStyle w:val="Bibliography"/>
      </w:pPr>
      <w:r>
        <w:t xml:space="preserve">‘IRR Data’. </w:t>
      </w:r>
      <w:r>
        <w:rPr>
          <w:i/>
          <w:iCs/>
        </w:rPr>
        <w:t>Ethan Ilzetzki</w:t>
      </w:r>
      <w:r>
        <w:t>. https://www.ilzetzki.com/irr-data (January 4, 2020).</w:t>
      </w:r>
    </w:p>
    <w:p w14:paraId="59301B66" w14:textId="77777777" w:rsidR="00B43ECA" w:rsidRDefault="00B43ECA" w:rsidP="00B43ECA">
      <w:pPr>
        <w:pStyle w:val="Bibliography"/>
      </w:pPr>
      <w:r>
        <w:t xml:space="preserve">Leblang, David, and William Bernhard. 2000. ‘The Politics of Speculative Attacks in Industrial Democracies’. </w:t>
      </w:r>
      <w:r>
        <w:rPr>
          <w:i/>
          <w:iCs/>
        </w:rPr>
        <w:t>International Organization</w:t>
      </w:r>
      <w:r>
        <w:t xml:space="preserve"> 54(2): 291–324.</w:t>
      </w:r>
    </w:p>
    <w:p w14:paraId="2597F292" w14:textId="77777777" w:rsidR="00B43ECA" w:rsidRDefault="00B43ECA" w:rsidP="00B43ECA">
      <w:pPr>
        <w:pStyle w:val="Bibliography"/>
      </w:pPr>
      <w:r>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51418EB3" w14:textId="77777777" w:rsidR="00B43ECA" w:rsidRDefault="00B43ECA" w:rsidP="00B43ECA">
      <w:pPr>
        <w:pStyle w:val="Bibliography"/>
      </w:pPr>
      <w:r>
        <w:t xml:space="preserve">Lijphart, Arend. 2012. </w:t>
      </w:r>
      <w:r>
        <w:rPr>
          <w:i/>
          <w:iCs/>
        </w:rPr>
        <w:t>Patterns of Democracy: Government Forms and Performance in Thirty-Six Countries</w:t>
      </w:r>
      <w:r>
        <w:t>. 2nd ed. New Haven: Yale University Press.</w:t>
      </w:r>
    </w:p>
    <w:p w14:paraId="5B0C43B0" w14:textId="77777777" w:rsidR="00B43ECA" w:rsidRDefault="00B43ECA" w:rsidP="00B43ECA">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008DAEE7" w14:textId="77777777" w:rsidR="00B43ECA" w:rsidRDefault="00B43ECA" w:rsidP="00B43ECA">
      <w:pPr>
        <w:pStyle w:val="Bibliography"/>
      </w:pPr>
      <w:r>
        <w:lastRenderedPageBreak/>
        <w:t xml:space="preserve">Maloney, John, Andrew C. Pickering, and Kaddour Hadri. 2003. ‘Political Business Cycles and Central Bank Independence*’. </w:t>
      </w:r>
      <w:r>
        <w:rPr>
          <w:i/>
          <w:iCs/>
        </w:rPr>
        <w:t>The Economic Journal</w:t>
      </w:r>
      <w:r>
        <w:t xml:space="preserve"> 113(486): C167–81.</w:t>
      </w:r>
    </w:p>
    <w:p w14:paraId="567B7FFA" w14:textId="77777777" w:rsidR="00B43ECA" w:rsidRDefault="00B43ECA" w:rsidP="00B43ECA">
      <w:pPr>
        <w:pStyle w:val="Bibliography"/>
      </w:pPr>
      <w:r>
        <w:t xml:space="preserve">Moser, Peter. 1999. ‘Checks and Balances, and the Supply of Central Bank Independence’. </w:t>
      </w:r>
      <w:r>
        <w:rPr>
          <w:i/>
          <w:iCs/>
        </w:rPr>
        <w:t>European Economic Review</w:t>
      </w:r>
      <w:r>
        <w:t xml:space="preserve"> 43(8): 1569–93.</w:t>
      </w:r>
    </w:p>
    <w:p w14:paraId="5AE96C2B" w14:textId="77777777" w:rsidR="00B43ECA" w:rsidRPr="00B43ECA" w:rsidRDefault="00B43ECA" w:rsidP="00B43ECA">
      <w:pPr>
        <w:pStyle w:val="Bibliography"/>
        <w:rPr>
          <w:lang w:val="fr-BE"/>
        </w:rPr>
      </w:pPr>
      <w:r>
        <w:t xml:space="preserve">Mundell, R. A. 1963. ‘Capital Mobility and Stabilization Policy under Fixed and Flexible Exchange Rates’. </w:t>
      </w:r>
      <w:r w:rsidRPr="00B43ECA">
        <w:rPr>
          <w:i/>
          <w:iCs/>
          <w:lang w:val="fr-BE"/>
        </w:rPr>
        <w:t>The Canadian Journal of Economics and Political Science / Revue canadienne d’Economique et de Science politique</w:t>
      </w:r>
      <w:r w:rsidRPr="00B43ECA">
        <w:rPr>
          <w:lang w:val="fr-BE"/>
        </w:rPr>
        <w:t xml:space="preserve"> 29(4): 475–85.</w:t>
      </w:r>
    </w:p>
    <w:p w14:paraId="47E78476" w14:textId="77777777" w:rsidR="00B43ECA" w:rsidRDefault="00B43ECA" w:rsidP="00B43ECA">
      <w:pPr>
        <w:pStyle w:val="Bibliography"/>
      </w:pPr>
      <w:r>
        <w:t xml:space="preserve">Mundell, Robert A. 1961. ‘A Theory of Optimum Currency Areas’. </w:t>
      </w:r>
      <w:r>
        <w:rPr>
          <w:i/>
          <w:iCs/>
        </w:rPr>
        <w:t>The American Economic Review</w:t>
      </w:r>
      <w:r>
        <w:t xml:space="preserve"> 51(4): 657–65.</w:t>
      </w:r>
    </w:p>
    <w:p w14:paraId="17D190B7" w14:textId="77777777" w:rsidR="00B43ECA" w:rsidRDefault="00B43ECA" w:rsidP="00B43ECA">
      <w:pPr>
        <w:pStyle w:val="Bibliography"/>
      </w:pPr>
      <w:r>
        <w:t xml:space="preserve">Nadeau, Richard, and Michael S. Lewis-Beck. 2001. ‘National Economic Voting in U.S. Presidential Elections’. </w:t>
      </w:r>
      <w:r>
        <w:rPr>
          <w:i/>
          <w:iCs/>
        </w:rPr>
        <w:t>The Journal of Politics</w:t>
      </w:r>
      <w:r>
        <w:t xml:space="preserve"> 63(1): 159–81.</w:t>
      </w:r>
    </w:p>
    <w:p w14:paraId="5DA97AE5" w14:textId="77777777" w:rsidR="00B43ECA" w:rsidRDefault="00B43ECA" w:rsidP="00B43ECA">
      <w:pPr>
        <w:pStyle w:val="Bibliography"/>
      </w:pPr>
      <w:r>
        <w:t xml:space="preserve">Olson, Mancur. 1993. ‘Dictatorship, Democracy, and Development’. </w:t>
      </w:r>
      <w:r>
        <w:rPr>
          <w:i/>
          <w:iCs/>
        </w:rPr>
        <w:t>American Political Science Review</w:t>
      </w:r>
      <w:r>
        <w:t xml:space="preserve"> 87(3): 567–76.</w:t>
      </w:r>
    </w:p>
    <w:p w14:paraId="49DC88CB" w14:textId="77777777" w:rsidR="00B43ECA" w:rsidRDefault="00B43ECA" w:rsidP="00B43ECA">
      <w:pPr>
        <w:pStyle w:val="Bibliography"/>
      </w:pPr>
      <w:r>
        <w:t>‘PolityProject’. https://www.systemicpeace.org/polityproject.html (January 11, 2020).</w:t>
      </w:r>
    </w:p>
    <w:p w14:paraId="2C78B947" w14:textId="77777777" w:rsidR="00B43ECA" w:rsidRDefault="00B43ECA" w:rsidP="00B43ECA">
      <w:pPr>
        <w:pStyle w:val="Bibliography"/>
      </w:pPr>
      <w:r>
        <w:t>‘School Enrollment, Tertiary (% Gross) | Data’. https://data.worldbank.org/indicator/SE.TER.ENRR (January 4, 2020).</w:t>
      </w:r>
    </w:p>
    <w:p w14:paraId="2E6890FE" w14:textId="77777777" w:rsidR="00B43ECA" w:rsidRDefault="00B43ECA" w:rsidP="00B43ECA">
      <w:pPr>
        <w:pStyle w:val="Bibliography"/>
      </w:pPr>
      <w:r>
        <w:t xml:space="preserve">‘Students - Tertiary Graduates by Field - OECD Data’. </w:t>
      </w:r>
      <w:r>
        <w:rPr>
          <w:i/>
          <w:iCs/>
        </w:rPr>
        <w:t>theOECD</w:t>
      </w:r>
      <w:r>
        <w:t>. http://data.oecd.org/students/tertiary-graduates-by-field.htm (January 6, 2020).</w:t>
      </w:r>
    </w:p>
    <w:p w14:paraId="7C8F1C96" w14:textId="77777777" w:rsidR="00B43ECA" w:rsidRDefault="00B43ECA" w:rsidP="00B43ECA">
      <w:pPr>
        <w:pStyle w:val="Bibliography"/>
      </w:pPr>
      <w:r>
        <w:t>‘The Federal Reserve’s Job Isn’t to Help Donald Trump — or to Hurt Him - Barron’s’. https://www.barrons.com/articles/donald-trump-federal-reserve-trade-war-51566950641 (January 8, 2020).</w:t>
      </w:r>
    </w:p>
    <w:p w14:paraId="1948AF2A" w14:textId="77777777" w:rsidR="00B43ECA" w:rsidRDefault="00B43ECA" w:rsidP="00B43ECA">
      <w:pPr>
        <w:pStyle w:val="Bibliography"/>
      </w:pPr>
      <w:r>
        <w:t>‘The Political Institutions and Political Events (PIPE) Dataset — PIPE’. https://xmarquez.github.io/democracyData/reference/PIPE.html (January 6, 2020).</w:t>
      </w:r>
    </w:p>
    <w:p w14:paraId="14749DBA" w14:textId="77777777" w:rsidR="00B43ECA" w:rsidRDefault="00B43ECA" w:rsidP="00B43ECA">
      <w:pPr>
        <w:pStyle w:val="Bibliography"/>
      </w:pPr>
      <w:r>
        <w:t>‘Trump Is Attacking the Federal Reserve. This Explains Why — and What Comes next. - The Washington Post’. https://www.washingtonpost.com/politics/2019/08/27/why-is-trump-attacking-federal-reserve-we-answer-your-questions/ (January 8, 2020).</w:t>
      </w:r>
    </w:p>
    <w:p w14:paraId="58D39646" w14:textId="77777777" w:rsidR="00B43ECA" w:rsidRDefault="00B43ECA" w:rsidP="00B43ECA">
      <w:pPr>
        <w:pStyle w:val="Bibliography"/>
      </w:pPr>
      <w:r>
        <w:t xml:space="preserve">Tufte, Edward R. 1980. </w:t>
      </w:r>
      <w:r>
        <w:rPr>
          <w:i/>
          <w:iCs/>
        </w:rPr>
        <w:t>Political Control of the Economy</w:t>
      </w:r>
      <w:r>
        <w:t>. 1. Paperback ed. Princeton, N.J: Princeton Univ. Press.</w:t>
      </w:r>
    </w:p>
    <w:p w14:paraId="4838F3FD" w14:textId="77777777" w:rsidR="00B43ECA" w:rsidRDefault="00B43ECA" w:rsidP="00B43ECA">
      <w:pPr>
        <w:pStyle w:val="Bibliography"/>
      </w:pPr>
      <w:r>
        <w:t>‘WGI 2019 Interactive &gt; Home’. https://info.worldbank.org/governance/wgi/ (January 7, 2020).</w:t>
      </w:r>
    </w:p>
    <w:p w14:paraId="4BF514B7" w14:textId="77777777" w:rsidR="00B43ECA" w:rsidRDefault="00B43ECA" w:rsidP="00B43ECA">
      <w:pPr>
        <w:pStyle w:val="Bibliography"/>
      </w:pPr>
      <w:r>
        <w:t>‘Youth Voter Participation: Involving Today’s Young in Tomorrow’s Democracy | International IDEA’. https://www.idea.int/publications/catalogue/youth-voter-participation-involving-todays-young-tomorrows-democracy (January 8, 2020).</w:t>
      </w:r>
    </w:p>
    <w:p w14:paraId="6E321188" w14:textId="71FEC114" w:rsidR="004D5799" w:rsidRPr="00824594" w:rsidRDefault="00A74915" w:rsidP="00252EF0">
      <w:r>
        <w:fldChar w:fldCharType="end"/>
      </w:r>
    </w:p>
    <w:sectPr w:rsidR="004D5799" w:rsidRPr="0082459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6095" w14:textId="77777777" w:rsidR="001B496E" w:rsidRDefault="001B496E" w:rsidP="007E32C6">
      <w:pPr>
        <w:spacing w:after="0" w:line="240" w:lineRule="auto"/>
      </w:pPr>
      <w:r>
        <w:separator/>
      </w:r>
    </w:p>
  </w:endnote>
  <w:endnote w:type="continuationSeparator" w:id="0">
    <w:p w14:paraId="3173D6E9" w14:textId="77777777" w:rsidR="001B496E" w:rsidRDefault="001B496E" w:rsidP="007E32C6">
      <w:pPr>
        <w:spacing w:after="0" w:line="240" w:lineRule="auto"/>
      </w:pPr>
      <w:r>
        <w:continuationSeparator/>
      </w:r>
    </w:p>
  </w:endnote>
  <w:endnote w:type="continuationNotice" w:id="1">
    <w:p w14:paraId="11C28BEB" w14:textId="77777777" w:rsidR="001B496E" w:rsidRDefault="001B49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5AC04" w14:textId="77777777" w:rsidR="001B496E" w:rsidRDefault="001B496E" w:rsidP="007E32C6">
      <w:pPr>
        <w:spacing w:after="0" w:line="240" w:lineRule="auto"/>
      </w:pPr>
      <w:r>
        <w:separator/>
      </w:r>
    </w:p>
  </w:footnote>
  <w:footnote w:type="continuationSeparator" w:id="0">
    <w:p w14:paraId="3AEDEB3B" w14:textId="77777777" w:rsidR="001B496E" w:rsidRDefault="001B496E" w:rsidP="007E32C6">
      <w:pPr>
        <w:spacing w:after="0" w:line="240" w:lineRule="auto"/>
      </w:pPr>
      <w:r>
        <w:continuationSeparator/>
      </w:r>
    </w:p>
  </w:footnote>
  <w:footnote w:type="continuationNotice" w:id="1">
    <w:p w14:paraId="68F8B134" w14:textId="77777777" w:rsidR="001B496E" w:rsidRDefault="001B496E">
      <w:pPr>
        <w:spacing w:after="0" w:line="240" w:lineRule="auto"/>
      </w:pPr>
    </w:p>
  </w:footnote>
  <w:footnote w:id="2">
    <w:p w14:paraId="42D46EDA" w14:textId="3C2DB4BF"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5D65AF" w:rsidRPr="005D65AF">
        <w:instrText xml:space="preserve"> ADDIN ZOTERO_ITEM CSL_CITATION {"citationID":"mgK1DJlM","properties":{"formattedCitation":"(MacKuen, Erikson, and Stimson 1992)","plainCitation":"(MacKuen, Erikson, and Stimson 1992)","noteIndex":1},"citationItems":[{"id":242,"uris":["http://zotero.org/users/5939705/items/E3BYG6UH"],"uri":["http://zotero.org/users/5939705/items/E3BYG6UH"],"itemData":{"id":242,"type":"article-journal","abstract":"The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3">
    <w:p w14:paraId="0BB1AD71" w14:textId="0D2647F4" w:rsidR="00107703" w:rsidRPr="00A41B2C" w:rsidRDefault="00011DB8" w:rsidP="00011DB8">
      <w:r w:rsidRPr="00191D3E">
        <w:rPr>
          <w:rStyle w:val="FootnoteReference"/>
        </w:rPr>
        <w:footnoteRef/>
      </w:r>
      <w:r w:rsidRPr="00191D3E">
        <w:t xml:space="preserve"> </w:t>
      </w:r>
      <w:r w:rsidR="00A908D3" w:rsidRPr="00473C40">
        <w:t xml:space="preserve">Again noting a perhaps overstated consensus for </w:t>
      </w:r>
      <w:r w:rsidR="006E7F58" w:rsidRPr="00473C40">
        <w:t xml:space="preserve">retrospective versus prospective voting, there are also </w:t>
      </w:r>
      <w:r w:rsidRPr="00473C40">
        <w:t xml:space="preserve">findings which seem to suggest that rational and partisan business cycles </w:t>
      </w:r>
      <w:r w:rsidR="007271BD">
        <w:t xml:space="preserve">(which use prospective voters) </w:t>
      </w:r>
      <w:r w:rsidRPr="00473C40">
        <w:t xml:space="preserve">are best demonstrated by the evidence </w:t>
      </w:r>
      <w:r w:rsidRPr="00473C40">
        <w:fldChar w:fldCharType="begin"/>
      </w:r>
      <w:r w:rsidR="00195EE9">
        <w:instrText xml:space="preserve"> ADDIN ZOTERO_ITEM CSL_CITATION {"citationID":"SxMVr3nV","properties":{"formattedCitation":"(Alesina, Roubini, and Cohen 1997)","plainCitation":"(Alesina, Roubini, and Cohen 1997)","noteIndex":3},"citationItems":[{"id":211,"uris":["http://zotero.org/users/5939705/items/IBU925PS"],"uri":["http://zotero.org/users/5939705/items/IBU925PS"],"itemData":{"id":211,"type":"book","call-number":"JA77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Pr="00473C40">
        <w:fldChar w:fldCharType="separate"/>
      </w:r>
      <w:r w:rsidRPr="00473C40">
        <w:rPr>
          <w:rFonts w:ascii="Calibri" w:hAnsi="Calibri" w:cs="Calibri"/>
        </w:rPr>
        <w:t>(Alesina, Roubini, and Cohen 1997)</w:t>
      </w:r>
      <w:r w:rsidRPr="00473C40">
        <w:fldChar w:fldCharType="end"/>
      </w:r>
      <w:r w:rsidRPr="00473C40">
        <w:t>.</w:t>
      </w:r>
      <w:r w:rsidR="007857E9">
        <w:t xml:space="preserve"> This need not be problematic for overall reduced form implications, however: we may still arrive at the result that</w:t>
      </w:r>
      <w:r w:rsidR="00396DF1">
        <w:t xml:space="preserve"> limiting institutions </w:t>
      </w:r>
      <w:r w:rsidR="00A84F3A">
        <w:t xml:space="preserve">increase instability by </w:t>
      </w:r>
      <w:r w:rsidR="00C72366">
        <w:t>considering several potential caveats</w:t>
      </w:r>
      <w:r w:rsidR="00C14C5E">
        <w:t>.</w:t>
      </w:r>
      <w:r w:rsidR="007857E9">
        <w:t xml:space="preserve"> </w:t>
      </w:r>
      <w:r w:rsidR="00107703" w:rsidRPr="00A41B2C">
        <w:rPr>
          <w:lang w:val="en-GB"/>
        </w:rPr>
        <w:t>Prospective voters in the rational partisan business cycle model may also be made retrospective if they also consider the revealed competence of politicians.</w:t>
      </w:r>
      <w:r w:rsidR="00A41B2C" w:rsidRPr="00A41B2C">
        <w:rPr>
          <w:lang w:val="en-GB"/>
        </w:rPr>
        <w:t xml:space="preserve"> It </w:t>
      </w:r>
      <w:r w:rsidR="00107703" w:rsidRPr="00A41B2C">
        <w:rPr>
          <w:lang w:val="en-GB"/>
        </w:rPr>
        <w:t xml:space="preserve">may </w:t>
      </w:r>
      <w:r w:rsidR="00A41B2C" w:rsidRPr="00A41B2C">
        <w:rPr>
          <w:lang w:val="en-GB"/>
        </w:rPr>
        <w:t xml:space="preserve">also </w:t>
      </w:r>
      <w:r w:rsidR="00107703" w:rsidRPr="00A41B2C">
        <w:rPr>
          <w:lang w:val="en-GB"/>
        </w:rPr>
        <w:t xml:space="preserve">be the case that even partisan politicians behave opportunistically as elections approach </w:t>
      </w:r>
      <w:r w:rsidR="00107703" w:rsidRPr="00A41B2C">
        <w:rPr>
          <w:lang w:val="en-GB"/>
        </w:rPr>
        <w:fldChar w:fldCharType="begin"/>
      </w:r>
      <w:r w:rsidR="00195EE9">
        <w:rPr>
          <w:lang w:val="en-GB"/>
        </w:rPr>
        <w:instrText xml:space="preserve"> ADDIN ZOTERO_ITEM CSL_CITATION {"citationID":"eIxTN21H","properties":{"formattedCitation":"(Frey and Schneider 1978)","plainCitation":"(Frey and Schneider 1978)","noteIndex":3},"citationItems":[{"id":328,"uris":["http://zotero.org/users/5939705/items/6NRB5W8D"],"uri":["http://zotero.org/users/5939705/items/6NRB5W8D"],"itemData":{"id":328,"type":"article-journal","archive":"JSTOR","container-title":"The Review of Economics and Statistics","DOI":"10.2307/1924970","ISSN":"0034-6535","issue":"2","page":"174-183","source":"JSTOR","title":"An Empirical Study of Politico-Economic Interaction in the United States","volume":"60","author":[{"family":"Frey","given":"Bruno S."},{"family":"Schneider","given":"Friedrich"}],"issued":{"date-parts":[["1978"]]}}}],"schema":"https://github.com/citation-style-language/schema/raw/master/csl-citation.json"} </w:instrText>
      </w:r>
      <w:r w:rsidR="00107703" w:rsidRPr="00A41B2C">
        <w:rPr>
          <w:lang w:val="en-GB"/>
        </w:rPr>
        <w:fldChar w:fldCharType="separate"/>
      </w:r>
      <w:r w:rsidR="00107703" w:rsidRPr="00A41B2C">
        <w:rPr>
          <w:rFonts w:ascii="Calibri" w:hAnsi="Calibri" w:cs="Calibri"/>
        </w:rPr>
        <w:t>(Frey and Schneider 1978)</w:t>
      </w:r>
      <w:r w:rsidR="00107703" w:rsidRPr="00A41B2C">
        <w:rPr>
          <w:lang w:val="en-GB"/>
        </w:rPr>
        <w:fldChar w:fldCharType="end"/>
      </w:r>
      <w:r w:rsidR="00107703" w:rsidRPr="00A41B2C">
        <w:rPr>
          <w:lang w:val="en-GB"/>
        </w:rPr>
        <w:t>.</w:t>
      </w:r>
    </w:p>
    <w:p w14:paraId="62D544D4" w14:textId="480D25DF" w:rsidR="00011DB8" w:rsidRPr="00011DB8" w:rsidRDefault="00011DB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9B8"/>
    <w:rsid w:val="00002177"/>
    <w:rsid w:val="00004AD1"/>
    <w:rsid w:val="00004C88"/>
    <w:rsid w:val="00005EE6"/>
    <w:rsid w:val="00006C83"/>
    <w:rsid w:val="00006F74"/>
    <w:rsid w:val="0000795B"/>
    <w:rsid w:val="00011C8C"/>
    <w:rsid w:val="00011DB8"/>
    <w:rsid w:val="00012955"/>
    <w:rsid w:val="000146CE"/>
    <w:rsid w:val="00016118"/>
    <w:rsid w:val="00016612"/>
    <w:rsid w:val="000166D8"/>
    <w:rsid w:val="00016923"/>
    <w:rsid w:val="00016E15"/>
    <w:rsid w:val="000174C7"/>
    <w:rsid w:val="000176BC"/>
    <w:rsid w:val="00020376"/>
    <w:rsid w:val="000204BB"/>
    <w:rsid w:val="0002053B"/>
    <w:rsid w:val="00020549"/>
    <w:rsid w:val="000205EF"/>
    <w:rsid w:val="000206D3"/>
    <w:rsid w:val="00020D4D"/>
    <w:rsid w:val="000226EA"/>
    <w:rsid w:val="00022D00"/>
    <w:rsid w:val="0002353E"/>
    <w:rsid w:val="000249E3"/>
    <w:rsid w:val="00025124"/>
    <w:rsid w:val="0002545F"/>
    <w:rsid w:val="00026AA6"/>
    <w:rsid w:val="00027285"/>
    <w:rsid w:val="0002743C"/>
    <w:rsid w:val="00027A1A"/>
    <w:rsid w:val="00030234"/>
    <w:rsid w:val="00030AC3"/>
    <w:rsid w:val="0003109B"/>
    <w:rsid w:val="000325D9"/>
    <w:rsid w:val="000354A8"/>
    <w:rsid w:val="00035D3C"/>
    <w:rsid w:val="00036046"/>
    <w:rsid w:val="000362DC"/>
    <w:rsid w:val="00040749"/>
    <w:rsid w:val="00041649"/>
    <w:rsid w:val="00043875"/>
    <w:rsid w:val="00043961"/>
    <w:rsid w:val="00043B4B"/>
    <w:rsid w:val="00043DC6"/>
    <w:rsid w:val="00044D23"/>
    <w:rsid w:val="000454A9"/>
    <w:rsid w:val="00045CCC"/>
    <w:rsid w:val="00046019"/>
    <w:rsid w:val="00047873"/>
    <w:rsid w:val="0005002F"/>
    <w:rsid w:val="00053B1F"/>
    <w:rsid w:val="0005420F"/>
    <w:rsid w:val="00055076"/>
    <w:rsid w:val="00055CD0"/>
    <w:rsid w:val="00055DBB"/>
    <w:rsid w:val="00056520"/>
    <w:rsid w:val="000566CB"/>
    <w:rsid w:val="00056BCA"/>
    <w:rsid w:val="00056CB3"/>
    <w:rsid w:val="00057B5B"/>
    <w:rsid w:val="00057C68"/>
    <w:rsid w:val="00057FA3"/>
    <w:rsid w:val="000604EC"/>
    <w:rsid w:val="00060909"/>
    <w:rsid w:val="00061E7B"/>
    <w:rsid w:val="000627B0"/>
    <w:rsid w:val="00063823"/>
    <w:rsid w:val="00064994"/>
    <w:rsid w:val="00064D0E"/>
    <w:rsid w:val="0006511C"/>
    <w:rsid w:val="0006642E"/>
    <w:rsid w:val="00067A9B"/>
    <w:rsid w:val="00067ABA"/>
    <w:rsid w:val="00067B37"/>
    <w:rsid w:val="00067E55"/>
    <w:rsid w:val="00070B58"/>
    <w:rsid w:val="00070FC8"/>
    <w:rsid w:val="00072C18"/>
    <w:rsid w:val="000736FB"/>
    <w:rsid w:val="000737B1"/>
    <w:rsid w:val="0007488A"/>
    <w:rsid w:val="00074FC8"/>
    <w:rsid w:val="000756D1"/>
    <w:rsid w:val="00075755"/>
    <w:rsid w:val="000766D1"/>
    <w:rsid w:val="00076A45"/>
    <w:rsid w:val="00077435"/>
    <w:rsid w:val="00082742"/>
    <w:rsid w:val="00083916"/>
    <w:rsid w:val="00083A19"/>
    <w:rsid w:val="0008412D"/>
    <w:rsid w:val="00085506"/>
    <w:rsid w:val="00086E7C"/>
    <w:rsid w:val="000874F2"/>
    <w:rsid w:val="00087D6D"/>
    <w:rsid w:val="00091E8A"/>
    <w:rsid w:val="00093738"/>
    <w:rsid w:val="00094021"/>
    <w:rsid w:val="00094E3B"/>
    <w:rsid w:val="000955D5"/>
    <w:rsid w:val="00096B06"/>
    <w:rsid w:val="000A046C"/>
    <w:rsid w:val="000A047E"/>
    <w:rsid w:val="000A11FF"/>
    <w:rsid w:val="000A13DC"/>
    <w:rsid w:val="000A29CC"/>
    <w:rsid w:val="000A2C87"/>
    <w:rsid w:val="000A36BE"/>
    <w:rsid w:val="000A4EAA"/>
    <w:rsid w:val="000B0071"/>
    <w:rsid w:val="000B13F8"/>
    <w:rsid w:val="000B188C"/>
    <w:rsid w:val="000B24FF"/>
    <w:rsid w:val="000B2BB7"/>
    <w:rsid w:val="000B2C68"/>
    <w:rsid w:val="000B2F74"/>
    <w:rsid w:val="000B52E8"/>
    <w:rsid w:val="000B5364"/>
    <w:rsid w:val="000B57B0"/>
    <w:rsid w:val="000B586D"/>
    <w:rsid w:val="000B59A3"/>
    <w:rsid w:val="000B7A6A"/>
    <w:rsid w:val="000C00A9"/>
    <w:rsid w:val="000C03B9"/>
    <w:rsid w:val="000C0D71"/>
    <w:rsid w:val="000C1010"/>
    <w:rsid w:val="000C1F9A"/>
    <w:rsid w:val="000C2E79"/>
    <w:rsid w:val="000C360B"/>
    <w:rsid w:val="000C4220"/>
    <w:rsid w:val="000C4870"/>
    <w:rsid w:val="000C49D0"/>
    <w:rsid w:val="000C4F48"/>
    <w:rsid w:val="000C621A"/>
    <w:rsid w:val="000C63D6"/>
    <w:rsid w:val="000C7ECF"/>
    <w:rsid w:val="000D04CE"/>
    <w:rsid w:val="000D09CC"/>
    <w:rsid w:val="000D148F"/>
    <w:rsid w:val="000D2C12"/>
    <w:rsid w:val="000D3047"/>
    <w:rsid w:val="000D556D"/>
    <w:rsid w:val="000D58EB"/>
    <w:rsid w:val="000D595E"/>
    <w:rsid w:val="000D5BA0"/>
    <w:rsid w:val="000D6B94"/>
    <w:rsid w:val="000E0B4A"/>
    <w:rsid w:val="000E11C8"/>
    <w:rsid w:val="000E19D9"/>
    <w:rsid w:val="000E1BA9"/>
    <w:rsid w:val="000E1BEA"/>
    <w:rsid w:val="000E23C9"/>
    <w:rsid w:val="000E2E37"/>
    <w:rsid w:val="000E49C8"/>
    <w:rsid w:val="000E5A68"/>
    <w:rsid w:val="000E7489"/>
    <w:rsid w:val="000E7C56"/>
    <w:rsid w:val="000F0458"/>
    <w:rsid w:val="000F165C"/>
    <w:rsid w:val="000F1AC8"/>
    <w:rsid w:val="000F2FEC"/>
    <w:rsid w:val="000F356C"/>
    <w:rsid w:val="000F45AF"/>
    <w:rsid w:val="000F5672"/>
    <w:rsid w:val="000F59CF"/>
    <w:rsid w:val="000F59E6"/>
    <w:rsid w:val="000F5E28"/>
    <w:rsid w:val="000F637D"/>
    <w:rsid w:val="000F6BB9"/>
    <w:rsid w:val="000F7809"/>
    <w:rsid w:val="0010003F"/>
    <w:rsid w:val="0010180E"/>
    <w:rsid w:val="00101A09"/>
    <w:rsid w:val="00101AF4"/>
    <w:rsid w:val="001023D1"/>
    <w:rsid w:val="001023E7"/>
    <w:rsid w:val="001029CD"/>
    <w:rsid w:val="001030B9"/>
    <w:rsid w:val="001031D9"/>
    <w:rsid w:val="00103AD1"/>
    <w:rsid w:val="00103F12"/>
    <w:rsid w:val="001050D6"/>
    <w:rsid w:val="0010524C"/>
    <w:rsid w:val="001052B3"/>
    <w:rsid w:val="00106027"/>
    <w:rsid w:val="00106053"/>
    <w:rsid w:val="00106495"/>
    <w:rsid w:val="00106A77"/>
    <w:rsid w:val="00106BF3"/>
    <w:rsid w:val="00106C5D"/>
    <w:rsid w:val="00107703"/>
    <w:rsid w:val="0011207A"/>
    <w:rsid w:val="00112093"/>
    <w:rsid w:val="00112DB6"/>
    <w:rsid w:val="001145BE"/>
    <w:rsid w:val="001148AD"/>
    <w:rsid w:val="00116056"/>
    <w:rsid w:val="0011635B"/>
    <w:rsid w:val="001165CD"/>
    <w:rsid w:val="00117E35"/>
    <w:rsid w:val="0012230D"/>
    <w:rsid w:val="00122A86"/>
    <w:rsid w:val="00122CF2"/>
    <w:rsid w:val="00123BC2"/>
    <w:rsid w:val="00123DD1"/>
    <w:rsid w:val="00124042"/>
    <w:rsid w:val="001306A8"/>
    <w:rsid w:val="00131AE2"/>
    <w:rsid w:val="001339E1"/>
    <w:rsid w:val="00133EC5"/>
    <w:rsid w:val="00134556"/>
    <w:rsid w:val="0013575F"/>
    <w:rsid w:val="00135F1C"/>
    <w:rsid w:val="00136BC4"/>
    <w:rsid w:val="00137457"/>
    <w:rsid w:val="001376CE"/>
    <w:rsid w:val="00137A86"/>
    <w:rsid w:val="001406BA"/>
    <w:rsid w:val="00140B6E"/>
    <w:rsid w:val="00141863"/>
    <w:rsid w:val="0014356D"/>
    <w:rsid w:val="00143BF1"/>
    <w:rsid w:val="00144091"/>
    <w:rsid w:val="00144426"/>
    <w:rsid w:val="0014482B"/>
    <w:rsid w:val="00147AEF"/>
    <w:rsid w:val="00147D07"/>
    <w:rsid w:val="00151ED6"/>
    <w:rsid w:val="00153057"/>
    <w:rsid w:val="00154F12"/>
    <w:rsid w:val="001554C8"/>
    <w:rsid w:val="0015567E"/>
    <w:rsid w:val="00155856"/>
    <w:rsid w:val="00155984"/>
    <w:rsid w:val="0015659B"/>
    <w:rsid w:val="0015681A"/>
    <w:rsid w:val="00156A6B"/>
    <w:rsid w:val="00157684"/>
    <w:rsid w:val="001577D9"/>
    <w:rsid w:val="0016006E"/>
    <w:rsid w:val="00161B92"/>
    <w:rsid w:val="00162076"/>
    <w:rsid w:val="001622AD"/>
    <w:rsid w:val="0016260F"/>
    <w:rsid w:val="001627A8"/>
    <w:rsid w:val="00162F42"/>
    <w:rsid w:val="001648ED"/>
    <w:rsid w:val="00164920"/>
    <w:rsid w:val="00164A58"/>
    <w:rsid w:val="00164AD9"/>
    <w:rsid w:val="001662C9"/>
    <w:rsid w:val="00166354"/>
    <w:rsid w:val="0016666A"/>
    <w:rsid w:val="00167425"/>
    <w:rsid w:val="0016750D"/>
    <w:rsid w:val="00170D17"/>
    <w:rsid w:val="00171244"/>
    <w:rsid w:val="00172EFC"/>
    <w:rsid w:val="0017328E"/>
    <w:rsid w:val="00176C0A"/>
    <w:rsid w:val="001778CD"/>
    <w:rsid w:val="00177B30"/>
    <w:rsid w:val="0018048E"/>
    <w:rsid w:val="00180CC4"/>
    <w:rsid w:val="00180EDC"/>
    <w:rsid w:val="0018248E"/>
    <w:rsid w:val="0018292A"/>
    <w:rsid w:val="001834C9"/>
    <w:rsid w:val="001836BA"/>
    <w:rsid w:val="00186446"/>
    <w:rsid w:val="00186884"/>
    <w:rsid w:val="00190415"/>
    <w:rsid w:val="001905D8"/>
    <w:rsid w:val="0019082E"/>
    <w:rsid w:val="00191D3E"/>
    <w:rsid w:val="00191D4A"/>
    <w:rsid w:val="00192A85"/>
    <w:rsid w:val="00192AE2"/>
    <w:rsid w:val="001935AE"/>
    <w:rsid w:val="001938D6"/>
    <w:rsid w:val="001956FC"/>
    <w:rsid w:val="00195EE9"/>
    <w:rsid w:val="00197792"/>
    <w:rsid w:val="001A00C7"/>
    <w:rsid w:val="001A0A65"/>
    <w:rsid w:val="001A13EC"/>
    <w:rsid w:val="001A1974"/>
    <w:rsid w:val="001A2030"/>
    <w:rsid w:val="001A2A19"/>
    <w:rsid w:val="001A3AEE"/>
    <w:rsid w:val="001A430E"/>
    <w:rsid w:val="001A47A1"/>
    <w:rsid w:val="001A4C17"/>
    <w:rsid w:val="001A515C"/>
    <w:rsid w:val="001A65F3"/>
    <w:rsid w:val="001A7AD3"/>
    <w:rsid w:val="001B0163"/>
    <w:rsid w:val="001B36A2"/>
    <w:rsid w:val="001B3A61"/>
    <w:rsid w:val="001B3C53"/>
    <w:rsid w:val="001B3D6A"/>
    <w:rsid w:val="001B46FC"/>
    <w:rsid w:val="001B496E"/>
    <w:rsid w:val="001B4B21"/>
    <w:rsid w:val="001B525D"/>
    <w:rsid w:val="001B67C8"/>
    <w:rsid w:val="001B7423"/>
    <w:rsid w:val="001C2030"/>
    <w:rsid w:val="001C35C9"/>
    <w:rsid w:val="001C3967"/>
    <w:rsid w:val="001C4CF2"/>
    <w:rsid w:val="001C7644"/>
    <w:rsid w:val="001C772B"/>
    <w:rsid w:val="001D2495"/>
    <w:rsid w:val="001D2873"/>
    <w:rsid w:val="001D505C"/>
    <w:rsid w:val="001D5139"/>
    <w:rsid w:val="001D520B"/>
    <w:rsid w:val="001D632A"/>
    <w:rsid w:val="001D6EF1"/>
    <w:rsid w:val="001E1548"/>
    <w:rsid w:val="001E356E"/>
    <w:rsid w:val="001E4470"/>
    <w:rsid w:val="001E7539"/>
    <w:rsid w:val="001F11C0"/>
    <w:rsid w:val="001F2071"/>
    <w:rsid w:val="001F27F5"/>
    <w:rsid w:val="001F345C"/>
    <w:rsid w:val="001F3762"/>
    <w:rsid w:val="001F37B7"/>
    <w:rsid w:val="001F41AE"/>
    <w:rsid w:val="001F65B8"/>
    <w:rsid w:val="002016F0"/>
    <w:rsid w:val="00201E9B"/>
    <w:rsid w:val="002020A4"/>
    <w:rsid w:val="00202234"/>
    <w:rsid w:val="0020367A"/>
    <w:rsid w:val="00204BB9"/>
    <w:rsid w:val="00205A51"/>
    <w:rsid w:val="00205F0B"/>
    <w:rsid w:val="0020623B"/>
    <w:rsid w:val="00206589"/>
    <w:rsid w:val="0020722F"/>
    <w:rsid w:val="002107D9"/>
    <w:rsid w:val="00211BEE"/>
    <w:rsid w:val="00212AB2"/>
    <w:rsid w:val="0021314C"/>
    <w:rsid w:val="00213386"/>
    <w:rsid w:val="002135DA"/>
    <w:rsid w:val="00213723"/>
    <w:rsid w:val="00213FC4"/>
    <w:rsid w:val="00214283"/>
    <w:rsid w:val="002145FB"/>
    <w:rsid w:val="00215F88"/>
    <w:rsid w:val="00215FC4"/>
    <w:rsid w:val="002166BF"/>
    <w:rsid w:val="0021672B"/>
    <w:rsid w:val="0022170C"/>
    <w:rsid w:val="002225FD"/>
    <w:rsid w:val="00222918"/>
    <w:rsid w:val="002230CF"/>
    <w:rsid w:val="0022548A"/>
    <w:rsid w:val="002258C5"/>
    <w:rsid w:val="00231053"/>
    <w:rsid w:val="002322A9"/>
    <w:rsid w:val="00233E98"/>
    <w:rsid w:val="00233EDC"/>
    <w:rsid w:val="00234186"/>
    <w:rsid w:val="002356E2"/>
    <w:rsid w:val="002358CE"/>
    <w:rsid w:val="00235D4E"/>
    <w:rsid w:val="00236BDC"/>
    <w:rsid w:val="0024049B"/>
    <w:rsid w:val="00242042"/>
    <w:rsid w:val="00242366"/>
    <w:rsid w:val="00243BA7"/>
    <w:rsid w:val="00245804"/>
    <w:rsid w:val="00245B28"/>
    <w:rsid w:val="00245FFB"/>
    <w:rsid w:val="0024610C"/>
    <w:rsid w:val="0024645E"/>
    <w:rsid w:val="00246E6A"/>
    <w:rsid w:val="00247122"/>
    <w:rsid w:val="00247552"/>
    <w:rsid w:val="002500CD"/>
    <w:rsid w:val="002516C6"/>
    <w:rsid w:val="00251BCD"/>
    <w:rsid w:val="002526EE"/>
    <w:rsid w:val="00252C86"/>
    <w:rsid w:val="00252EF0"/>
    <w:rsid w:val="002538A1"/>
    <w:rsid w:val="00253C16"/>
    <w:rsid w:val="00254DF1"/>
    <w:rsid w:val="00255641"/>
    <w:rsid w:val="00256FF2"/>
    <w:rsid w:val="00257699"/>
    <w:rsid w:val="00257EF8"/>
    <w:rsid w:val="00260233"/>
    <w:rsid w:val="00260313"/>
    <w:rsid w:val="00261A48"/>
    <w:rsid w:val="00263D9D"/>
    <w:rsid w:val="00264751"/>
    <w:rsid w:val="0026486A"/>
    <w:rsid w:val="00265335"/>
    <w:rsid w:val="00265492"/>
    <w:rsid w:val="00266323"/>
    <w:rsid w:val="00267034"/>
    <w:rsid w:val="00267809"/>
    <w:rsid w:val="002706F1"/>
    <w:rsid w:val="00270FE3"/>
    <w:rsid w:val="00271BEA"/>
    <w:rsid w:val="00272226"/>
    <w:rsid w:val="00273C9F"/>
    <w:rsid w:val="002747E7"/>
    <w:rsid w:val="0028004B"/>
    <w:rsid w:val="00280BAC"/>
    <w:rsid w:val="0028306B"/>
    <w:rsid w:val="0028343C"/>
    <w:rsid w:val="00283983"/>
    <w:rsid w:val="00284631"/>
    <w:rsid w:val="00284B0A"/>
    <w:rsid w:val="00285B65"/>
    <w:rsid w:val="00285C83"/>
    <w:rsid w:val="002860F1"/>
    <w:rsid w:val="002902B7"/>
    <w:rsid w:val="0029159E"/>
    <w:rsid w:val="00292947"/>
    <w:rsid w:val="002930AA"/>
    <w:rsid w:val="002930B1"/>
    <w:rsid w:val="002932AD"/>
    <w:rsid w:val="002933DC"/>
    <w:rsid w:val="00293665"/>
    <w:rsid w:val="0029410D"/>
    <w:rsid w:val="00295598"/>
    <w:rsid w:val="002961EC"/>
    <w:rsid w:val="00296BF1"/>
    <w:rsid w:val="00297536"/>
    <w:rsid w:val="00297D30"/>
    <w:rsid w:val="002A0643"/>
    <w:rsid w:val="002A12A2"/>
    <w:rsid w:val="002A1B53"/>
    <w:rsid w:val="002A2289"/>
    <w:rsid w:val="002A4CEF"/>
    <w:rsid w:val="002A4F0B"/>
    <w:rsid w:val="002A51B7"/>
    <w:rsid w:val="002A5458"/>
    <w:rsid w:val="002A5898"/>
    <w:rsid w:val="002A7C1E"/>
    <w:rsid w:val="002A7E3B"/>
    <w:rsid w:val="002B0815"/>
    <w:rsid w:val="002B0968"/>
    <w:rsid w:val="002B13C4"/>
    <w:rsid w:val="002B3590"/>
    <w:rsid w:val="002B3715"/>
    <w:rsid w:val="002B3B56"/>
    <w:rsid w:val="002B4DE4"/>
    <w:rsid w:val="002B539E"/>
    <w:rsid w:val="002B654D"/>
    <w:rsid w:val="002C002B"/>
    <w:rsid w:val="002C04D9"/>
    <w:rsid w:val="002C2585"/>
    <w:rsid w:val="002C324F"/>
    <w:rsid w:val="002C624E"/>
    <w:rsid w:val="002C63FC"/>
    <w:rsid w:val="002C6A6A"/>
    <w:rsid w:val="002D078E"/>
    <w:rsid w:val="002D13F9"/>
    <w:rsid w:val="002D1657"/>
    <w:rsid w:val="002D1B60"/>
    <w:rsid w:val="002D273B"/>
    <w:rsid w:val="002D2936"/>
    <w:rsid w:val="002D3B9C"/>
    <w:rsid w:val="002D43F2"/>
    <w:rsid w:val="002D4AB6"/>
    <w:rsid w:val="002D5E20"/>
    <w:rsid w:val="002D5E98"/>
    <w:rsid w:val="002D6626"/>
    <w:rsid w:val="002D6796"/>
    <w:rsid w:val="002D6D44"/>
    <w:rsid w:val="002E0827"/>
    <w:rsid w:val="002E085F"/>
    <w:rsid w:val="002E08D4"/>
    <w:rsid w:val="002E0AF7"/>
    <w:rsid w:val="002E1386"/>
    <w:rsid w:val="002E1B72"/>
    <w:rsid w:val="002E33D9"/>
    <w:rsid w:val="002E4065"/>
    <w:rsid w:val="002E4A87"/>
    <w:rsid w:val="002E4EE6"/>
    <w:rsid w:val="002E54F0"/>
    <w:rsid w:val="002E6E4F"/>
    <w:rsid w:val="002E6E70"/>
    <w:rsid w:val="002E6F59"/>
    <w:rsid w:val="002E72B3"/>
    <w:rsid w:val="002E750A"/>
    <w:rsid w:val="002E7790"/>
    <w:rsid w:val="002E7CD6"/>
    <w:rsid w:val="002F005D"/>
    <w:rsid w:val="002F076C"/>
    <w:rsid w:val="002F14BD"/>
    <w:rsid w:val="002F1B3C"/>
    <w:rsid w:val="002F280C"/>
    <w:rsid w:val="002F28E1"/>
    <w:rsid w:val="002F35E5"/>
    <w:rsid w:val="002F362C"/>
    <w:rsid w:val="002F3F1C"/>
    <w:rsid w:val="002F40F5"/>
    <w:rsid w:val="002F4130"/>
    <w:rsid w:val="002F600F"/>
    <w:rsid w:val="002F7B19"/>
    <w:rsid w:val="002F7D91"/>
    <w:rsid w:val="00300893"/>
    <w:rsid w:val="003008AA"/>
    <w:rsid w:val="003013B4"/>
    <w:rsid w:val="00301A6D"/>
    <w:rsid w:val="003020F1"/>
    <w:rsid w:val="00302965"/>
    <w:rsid w:val="00303092"/>
    <w:rsid w:val="003034C9"/>
    <w:rsid w:val="00304010"/>
    <w:rsid w:val="00304DB2"/>
    <w:rsid w:val="0030680E"/>
    <w:rsid w:val="00306BA3"/>
    <w:rsid w:val="0031211E"/>
    <w:rsid w:val="00312B2D"/>
    <w:rsid w:val="00314851"/>
    <w:rsid w:val="003157B8"/>
    <w:rsid w:val="003159DE"/>
    <w:rsid w:val="0031618D"/>
    <w:rsid w:val="0031755B"/>
    <w:rsid w:val="0031761A"/>
    <w:rsid w:val="00317B70"/>
    <w:rsid w:val="00320EF3"/>
    <w:rsid w:val="00320F91"/>
    <w:rsid w:val="00321B3F"/>
    <w:rsid w:val="003222A7"/>
    <w:rsid w:val="00322F63"/>
    <w:rsid w:val="00323A61"/>
    <w:rsid w:val="00323AAD"/>
    <w:rsid w:val="00323FBD"/>
    <w:rsid w:val="0032626D"/>
    <w:rsid w:val="0032661B"/>
    <w:rsid w:val="00330FA7"/>
    <w:rsid w:val="00331019"/>
    <w:rsid w:val="003322AC"/>
    <w:rsid w:val="0033300B"/>
    <w:rsid w:val="00334389"/>
    <w:rsid w:val="003410D3"/>
    <w:rsid w:val="00341652"/>
    <w:rsid w:val="00341732"/>
    <w:rsid w:val="00342340"/>
    <w:rsid w:val="00342ED6"/>
    <w:rsid w:val="00343457"/>
    <w:rsid w:val="003440A7"/>
    <w:rsid w:val="00346C78"/>
    <w:rsid w:val="00346E2C"/>
    <w:rsid w:val="00346E46"/>
    <w:rsid w:val="003476CB"/>
    <w:rsid w:val="003510E8"/>
    <w:rsid w:val="00353239"/>
    <w:rsid w:val="0035385A"/>
    <w:rsid w:val="00354622"/>
    <w:rsid w:val="00354E82"/>
    <w:rsid w:val="00356462"/>
    <w:rsid w:val="00357595"/>
    <w:rsid w:val="00357833"/>
    <w:rsid w:val="00357C4D"/>
    <w:rsid w:val="003605C7"/>
    <w:rsid w:val="00360707"/>
    <w:rsid w:val="0036146F"/>
    <w:rsid w:val="0036224D"/>
    <w:rsid w:val="0037019E"/>
    <w:rsid w:val="003704F1"/>
    <w:rsid w:val="00370836"/>
    <w:rsid w:val="00370F59"/>
    <w:rsid w:val="00371EF4"/>
    <w:rsid w:val="003722F4"/>
    <w:rsid w:val="00373C41"/>
    <w:rsid w:val="00373CBD"/>
    <w:rsid w:val="003741A1"/>
    <w:rsid w:val="003744A9"/>
    <w:rsid w:val="00375AF8"/>
    <w:rsid w:val="00375EFD"/>
    <w:rsid w:val="003760D9"/>
    <w:rsid w:val="003772BD"/>
    <w:rsid w:val="00377510"/>
    <w:rsid w:val="0037796F"/>
    <w:rsid w:val="0038076E"/>
    <w:rsid w:val="00380BA4"/>
    <w:rsid w:val="0038205C"/>
    <w:rsid w:val="00382C00"/>
    <w:rsid w:val="0038397F"/>
    <w:rsid w:val="00384E0D"/>
    <w:rsid w:val="003852AD"/>
    <w:rsid w:val="00385642"/>
    <w:rsid w:val="003862FF"/>
    <w:rsid w:val="00387F5D"/>
    <w:rsid w:val="0039171A"/>
    <w:rsid w:val="003934D4"/>
    <w:rsid w:val="0039412D"/>
    <w:rsid w:val="003942B9"/>
    <w:rsid w:val="0039495D"/>
    <w:rsid w:val="00396218"/>
    <w:rsid w:val="0039660B"/>
    <w:rsid w:val="00396784"/>
    <w:rsid w:val="00396DF1"/>
    <w:rsid w:val="00397E24"/>
    <w:rsid w:val="003A04FB"/>
    <w:rsid w:val="003A1E25"/>
    <w:rsid w:val="003A27C5"/>
    <w:rsid w:val="003A2C4B"/>
    <w:rsid w:val="003A30CF"/>
    <w:rsid w:val="003A388E"/>
    <w:rsid w:val="003A3E95"/>
    <w:rsid w:val="003A456A"/>
    <w:rsid w:val="003A4683"/>
    <w:rsid w:val="003A676F"/>
    <w:rsid w:val="003A6DEA"/>
    <w:rsid w:val="003B1EE8"/>
    <w:rsid w:val="003B226D"/>
    <w:rsid w:val="003B5E78"/>
    <w:rsid w:val="003B6FDC"/>
    <w:rsid w:val="003C07C3"/>
    <w:rsid w:val="003C1252"/>
    <w:rsid w:val="003C2443"/>
    <w:rsid w:val="003C2FB4"/>
    <w:rsid w:val="003C40FE"/>
    <w:rsid w:val="003C5C4C"/>
    <w:rsid w:val="003C6CD4"/>
    <w:rsid w:val="003C7DB9"/>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735D"/>
    <w:rsid w:val="003D7463"/>
    <w:rsid w:val="003D7BDE"/>
    <w:rsid w:val="003E0F49"/>
    <w:rsid w:val="003E1C37"/>
    <w:rsid w:val="003E3CA9"/>
    <w:rsid w:val="003E46A7"/>
    <w:rsid w:val="003E4D70"/>
    <w:rsid w:val="003E4FE7"/>
    <w:rsid w:val="003E600C"/>
    <w:rsid w:val="003E63D2"/>
    <w:rsid w:val="003E653E"/>
    <w:rsid w:val="003E77B5"/>
    <w:rsid w:val="003F069F"/>
    <w:rsid w:val="003F07D9"/>
    <w:rsid w:val="003F1AEC"/>
    <w:rsid w:val="003F526A"/>
    <w:rsid w:val="003F61A9"/>
    <w:rsid w:val="003F7233"/>
    <w:rsid w:val="003F7D84"/>
    <w:rsid w:val="00402E47"/>
    <w:rsid w:val="00402F75"/>
    <w:rsid w:val="0040423E"/>
    <w:rsid w:val="004045CA"/>
    <w:rsid w:val="00404EA4"/>
    <w:rsid w:val="00405477"/>
    <w:rsid w:val="0040614A"/>
    <w:rsid w:val="00406826"/>
    <w:rsid w:val="0041079E"/>
    <w:rsid w:val="00410D32"/>
    <w:rsid w:val="004119E2"/>
    <w:rsid w:val="00411AE3"/>
    <w:rsid w:val="00411E2C"/>
    <w:rsid w:val="004137E8"/>
    <w:rsid w:val="00414236"/>
    <w:rsid w:val="00415F77"/>
    <w:rsid w:val="004162EB"/>
    <w:rsid w:val="00417139"/>
    <w:rsid w:val="004171E0"/>
    <w:rsid w:val="00420C1A"/>
    <w:rsid w:val="00421CAB"/>
    <w:rsid w:val="00421E68"/>
    <w:rsid w:val="004225BA"/>
    <w:rsid w:val="00422C65"/>
    <w:rsid w:val="0042359F"/>
    <w:rsid w:val="00424A75"/>
    <w:rsid w:val="00424A93"/>
    <w:rsid w:val="00425405"/>
    <w:rsid w:val="00427283"/>
    <w:rsid w:val="00427ABC"/>
    <w:rsid w:val="00427C84"/>
    <w:rsid w:val="00427F01"/>
    <w:rsid w:val="00427FAA"/>
    <w:rsid w:val="004302D1"/>
    <w:rsid w:val="00430D41"/>
    <w:rsid w:val="00430DDC"/>
    <w:rsid w:val="00431368"/>
    <w:rsid w:val="00431C27"/>
    <w:rsid w:val="00431F74"/>
    <w:rsid w:val="00432C4E"/>
    <w:rsid w:val="004330CF"/>
    <w:rsid w:val="00433473"/>
    <w:rsid w:val="00433864"/>
    <w:rsid w:val="004344FA"/>
    <w:rsid w:val="00434E12"/>
    <w:rsid w:val="00434FAF"/>
    <w:rsid w:val="0043500E"/>
    <w:rsid w:val="00435A70"/>
    <w:rsid w:val="00436405"/>
    <w:rsid w:val="0043771D"/>
    <w:rsid w:val="00440A07"/>
    <w:rsid w:val="004429CA"/>
    <w:rsid w:val="00442DF5"/>
    <w:rsid w:val="00443254"/>
    <w:rsid w:val="004470F7"/>
    <w:rsid w:val="00450331"/>
    <w:rsid w:val="00450616"/>
    <w:rsid w:val="00450AA1"/>
    <w:rsid w:val="00451E4B"/>
    <w:rsid w:val="004559D8"/>
    <w:rsid w:val="00455EE5"/>
    <w:rsid w:val="004560AD"/>
    <w:rsid w:val="0045785A"/>
    <w:rsid w:val="00460624"/>
    <w:rsid w:val="004606BE"/>
    <w:rsid w:val="00460DBB"/>
    <w:rsid w:val="00461658"/>
    <w:rsid w:val="0046189F"/>
    <w:rsid w:val="00461BF3"/>
    <w:rsid w:val="004632D7"/>
    <w:rsid w:val="004650A7"/>
    <w:rsid w:val="0046548F"/>
    <w:rsid w:val="004663EB"/>
    <w:rsid w:val="00466806"/>
    <w:rsid w:val="00467A9F"/>
    <w:rsid w:val="00467D91"/>
    <w:rsid w:val="004716F6"/>
    <w:rsid w:val="0047172D"/>
    <w:rsid w:val="00472E49"/>
    <w:rsid w:val="004730B9"/>
    <w:rsid w:val="004732A0"/>
    <w:rsid w:val="00473C40"/>
    <w:rsid w:val="00474AE0"/>
    <w:rsid w:val="00475F25"/>
    <w:rsid w:val="0047676E"/>
    <w:rsid w:val="004775E3"/>
    <w:rsid w:val="00477C82"/>
    <w:rsid w:val="004809BC"/>
    <w:rsid w:val="004822A2"/>
    <w:rsid w:val="004829DB"/>
    <w:rsid w:val="00482D37"/>
    <w:rsid w:val="004830F3"/>
    <w:rsid w:val="00483813"/>
    <w:rsid w:val="004841BF"/>
    <w:rsid w:val="00484A01"/>
    <w:rsid w:val="004850B5"/>
    <w:rsid w:val="004850B6"/>
    <w:rsid w:val="00486363"/>
    <w:rsid w:val="00486525"/>
    <w:rsid w:val="00486991"/>
    <w:rsid w:val="0048714A"/>
    <w:rsid w:val="00487D37"/>
    <w:rsid w:val="004918F0"/>
    <w:rsid w:val="0049217F"/>
    <w:rsid w:val="00492536"/>
    <w:rsid w:val="00495FEE"/>
    <w:rsid w:val="004A08D9"/>
    <w:rsid w:val="004A0987"/>
    <w:rsid w:val="004A1B19"/>
    <w:rsid w:val="004A2E1E"/>
    <w:rsid w:val="004A4235"/>
    <w:rsid w:val="004A6AFE"/>
    <w:rsid w:val="004B0BE6"/>
    <w:rsid w:val="004B1A3C"/>
    <w:rsid w:val="004B32A1"/>
    <w:rsid w:val="004B35A3"/>
    <w:rsid w:val="004B5169"/>
    <w:rsid w:val="004B5ADC"/>
    <w:rsid w:val="004B64D9"/>
    <w:rsid w:val="004B7227"/>
    <w:rsid w:val="004C024D"/>
    <w:rsid w:val="004C274F"/>
    <w:rsid w:val="004C4333"/>
    <w:rsid w:val="004C4B9D"/>
    <w:rsid w:val="004C4D8D"/>
    <w:rsid w:val="004C58B8"/>
    <w:rsid w:val="004C5E72"/>
    <w:rsid w:val="004C6B22"/>
    <w:rsid w:val="004C6C6B"/>
    <w:rsid w:val="004C7FF1"/>
    <w:rsid w:val="004D01D3"/>
    <w:rsid w:val="004D0651"/>
    <w:rsid w:val="004D1615"/>
    <w:rsid w:val="004D1AAC"/>
    <w:rsid w:val="004D20B7"/>
    <w:rsid w:val="004D29DD"/>
    <w:rsid w:val="004D3BC2"/>
    <w:rsid w:val="004D5196"/>
    <w:rsid w:val="004D5799"/>
    <w:rsid w:val="004D6E5C"/>
    <w:rsid w:val="004D7DAD"/>
    <w:rsid w:val="004E0295"/>
    <w:rsid w:val="004E2AC7"/>
    <w:rsid w:val="004E3FB6"/>
    <w:rsid w:val="004E4F2F"/>
    <w:rsid w:val="004E6192"/>
    <w:rsid w:val="004E7600"/>
    <w:rsid w:val="004F0A1F"/>
    <w:rsid w:val="004F1F1D"/>
    <w:rsid w:val="004F43AA"/>
    <w:rsid w:val="004F51EB"/>
    <w:rsid w:val="004F65A9"/>
    <w:rsid w:val="004F7B91"/>
    <w:rsid w:val="004F7C58"/>
    <w:rsid w:val="00500325"/>
    <w:rsid w:val="00500908"/>
    <w:rsid w:val="00501458"/>
    <w:rsid w:val="00501569"/>
    <w:rsid w:val="00502F17"/>
    <w:rsid w:val="0050326E"/>
    <w:rsid w:val="00503F38"/>
    <w:rsid w:val="00504AE1"/>
    <w:rsid w:val="0050759D"/>
    <w:rsid w:val="005108A9"/>
    <w:rsid w:val="00511B21"/>
    <w:rsid w:val="00511F08"/>
    <w:rsid w:val="00512DC3"/>
    <w:rsid w:val="005144E0"/>
    <w:rsid w:val="00516CA4"/>
    <w:rsid w:val="00517DBF"/>
    <w:rsid w:val="00520573"/>
    <w:rsid w:val="0052174F"/>
    <w:rsid w:val="00521D48"/>
    <w:rsid w:val="00521D95"/>
    <w:rsid w:val="005224AC"/>
    <w:rsid w:val="00523108"/>
    <w:rsid w:val="00524578"/>
    <w:rsid w:val="005268EB"/>
    <w:rsid w:val="00526B95"/>
    <w:rsid w:val="00526F0F"/>
    <w:rsid w:val="00527830"/>
    <w:rsid w:val="005312C4"/>
    <w:rsid w:val="0053203E"/>
    <w:rsid w:val="00532D71"/>
    <w:rsid w:val="00532D7C"/>
    <w:rsid w:val="00533DED"/>
    <w:rsid w:val="005346F1"/>
    <w:rsid w:val="0053471A"/>
    <w:rsid w:val="0053595C"/>
    <w:rsid w:val="00536188"/>
    <w:rsid w:val="00536521"/>
    <w:rsid w:val="00540005"/>
    <w:rsid w:val="005408AC"/>
    <w:rsid w:val="0054097C"/>
    <w:rsid w:val="005419C4"/>
    <w:rsid w:val="00541FFC"/>
    <w:rsid w:val="0054205E"/>
    <w:rsid w:val="00542BD0"/>
    <w:rsid w:val="00544612"/>
    <w:rsid w:val="00545A9C"/>
    <w:rsid w:val="0054639E"/>
    <w:rsid w:val="0054658B"/>
    <w:rsid w:val="00547156"/>
    <w:rsid w:val="00547244"/>
    <w:rsid w:val="00551D85"/>
    <w:rsid w:val="00552B9B"/>
    <w:rsid w:val="00554B79"/>
    <w:rsid w:val="00554E28"/>
    <w:rsid w:val="00555FC9"/>
    <w:rsid w:val="00556574"/>
    <w:rsid w:val="005567A7"/>
    <w:rsid w:val="00557130"/>
    <w:rsid w:val="0055714B"/>
    <w:rsid w:val="00557D68"/>
    <w:rsid w:val="00557E4C"/>
    <w:rsid w:val="00560322"/>
    <w:rsid w:val="00561955"/>
    <w:rsid w:val="00561B91"/>
    <w:rsid w:val="005636BE"/>
    <w:rsid w:val="00563755"/>
    <w:rsid w:val="00564921"/>
    <w:rsid w:val="00564D17"/>
    <w:rsid w:val="005654CE"/>
    <w:rsid w:val="00566781"/>
    <w:rsid w:val="00567141"/>
    <w:rsid w:val="0056783C"/>
    <w:rsid w:val="00570786"/>
    <w:rsid w:val="00571AF2"/>
    <w:rsid w:val="00572DF5"/>
    <w:rsid w:val="0057354C"/>
    <w:rsid w:val="00574767"/>
    <w:rsid w:val="0057653C"/>
    <w:rsid w:val="0057758F"/>
    <w:rsid w:val="00580B25"/>
    <w:rsid w:val="00580E64"/>
    <w:rsid w:val="0058195D"/>
    <w:rsid w:val="00582599"/>
    <w:rsid w:val="00582BEF"/>
    <w:rsid w:val="00582C4A"/>
    <w:rsid w:val="00583CA9"/>
    <w:rsid w:val="00584922"/>
    <w:rsid w:val="005850C7"/>
    <w:rsid w:val="00585181"/>
    <w:rsid w:val="00586A1F"/>
    <w:rsid w:val="00586B5C"/>
    <w:rsid w:val="00586C33"/>
    <w:rsid w:val="005879DB"/>
    <w:rsid w:val="00587F89"/>
    <w:rsid w:val="00590632"/>
    <w:rsid w:val="00591C7D"/>
    <w:rsid w:val="005922A7"/>
    <w:rsid w:val="005929D3"/>
    <w:rsid w:val="005A0FB7"/>
    <w:rsid w:val="005A10A2"/>
    <w:rsid w:val="005A10C4"/>
    <w:rsid w:val="005A1351"/>
    <w:rsid w:val="005A3E42"/>
    <w:rsid w:val="005A44C0"/>
    <w:rsid w:val="005B0C6C"/>
    <w:rsid w:val="005B12FD"/>
    <w:rsid w:val="005B1ED8"/>
    <w:rsid w:val="005B2EA4"/>
    <w:rsid w:val="005B3C3C"/>
    <w:rsid w:val="005B4AA1"/>
    <w:rsid w:val="005B5605"/>
    <w:rsid w:val="005B6287"/>
    <w:rsid w:val="005B6492"/>
    <w:rsid w:val="005B67DD"/>
    <w:rsid w:val="005B6C03"/>
    <w:rsid w:val="005B777C"/>
    <w:rsid w:val="005B7AE6"/>
    <w:rsid w:val="005B7BAB"/>
    <w:rsid w:val="005B7F74"/>
    <w:rsid w:val="005C013D"/>
    <w:rsid w:val="005C018A"/>
    <w:rsid w:val="005C026F"/>
    <w:rsid w:val="005C07B3"/>
    <w:rsid w:val="005C11B4"/>
    <w:rsid w:val="005C1D57"/>
    <w:rsid w:val="005C2150"/>
    <w:rsid w:val="005C23E2"/>
    <w:rsid w:val="005C35A4"/>
    <w:rsid w:val="005C3667"/>
    <w:rsid w:val="005C4973"/>
    <w:rsid w:val="005C4A17"/>
    <w:rsid w:val="005C6441"/>
    <w:rsid w:val="005C7567"/>
    <w:rsid w:val="005D03C9"/>
    <w:rsid w:val="005D0566"/>
    <w:rsid w:val="005D087B"/>
    <w:rsid w:val="005D0936"/>
    <w:rsid w:val="005D0943"/>
    <w:rsid w:val="005D150B"/>
    <w:rsid w:val="005D222E"/>
    <w:rsid w:val="005D38EA"/>
    <w:rsid w:val="005D40E3"/>
    <w:rsid w:val="005D53C0"/>
    <w:rsid w:val="005D65AF"/>
    <w:rsid w:val="005E2E1A"/>
    <w:rsid w:val="005E425B"/>
    <w:rsid w:val="005E5D79"/>
    <w:rsid w:val="005E6AA1"/>
    <w:rsid w:val="005E6F8F"/>
    <w:rsid w:val="005F07BE"/>
    <w:rsid w:val="005F57D3"/>
    <w:rsid w:val="005F6D8B"/>
    <w:rsid w:val="005F78EB"/>
    <w:rsid w:val="005F7C84"/>
    <w:rsid w:val="00600356"/>
    <w:rsid w:val="00600E50"/>
    <w:rsid w:val="0060169E"/>
    <w:rsid w:val="006027AA"/>
    <w:rsid w:val="0060564B"/>
    <w:rsid w:val="00610623"/>
    <w:rsid w:val="006114B9"/>
    <w:rsid w:val="006123D2"/>
    <w:rsid w:val="00614B6C"/>
    <w:rsid w:val="006157C7"/>
    <w:rsid w:val="006173D5"/>
    <w:rsid w:val="006179C9"/>
    <w:rsid w:val="00622F4D"/>
    <w:rsid w:val="00623308"/>
    <w:rsid w:val="00623CED"/>
    <w:rsid w:val="00623EED"/>
    <w:rsid w:val="00624208"/>
    <w:rsid w:val="00624661"/>
    <w:rsid w:val="00624DA1"/>
    <w:rsid w:val="00624EF2"/>
    <w:rsid w:val="0062653B"/>
    <w:rsid w:val="00627819"/>
    <w:rsid w:val="00630631"/>
    <w:rsid w:val="00630CF6"/>
    <w:rsid w:val="00631343"/>
    <w:rsid w:val="00632018"/>
    <w:rsid w:val="006325FC"/>
    <w:rsid w:val="00632839"/>
    <w:rsid w:val="006330E1"/>
    <w:rsid w:val="00633EDB"/>
    <w:rsid w:val="00633FA5"/>
    <w:rsid w:val="0063401A"/>
    <w:rsid w:val="00635F24"/>
    <w:rsid w:val="00636467"/>
    <w:rsid w:val="00636AD3"/>
    <w:rsid w:val="006371C5"/>
    <w:rsid w:val="0064078B"/>
    <w:rsid w:val="006407D6"/>
    <w:rsid w:val="0064163D"/>
    <w:rsid w:val="0064262F"/>
    <w:rsid w:val="00642783"/>
    <w:rsid w:val="00642EFE"/>
    <w:rsid w:val="0064323B"/>
    <w:rsid w:val="006442A3"/>
    <w:rsid w:val="00645612"/>
    <w:rsid w:val="00646411"/>
    <w:rsid w:val="00646477"/>
    <w:rsid w:val="00646EDC"/>
    <w:rsid w:val="006470F9"/>
    <w:rsid w:val="0064715A"/>
    <w:rsid w:val="0065026C"/>
    <w:rsid w:val="00650597"/>
    <w:rsid w:val="00650DAA"/>
    <w:rsid w:val="00652115"/>
    <w:rsid w:val="00652183"/>
    <w:rsid w:val="0065287A"/>
    <w:rsid w:val="00653942"/>
    <w:rsid w:val="00653E2A"/>
    <w:rsid w:val="00654529"/>
    <w:rsid w:val="00654FAD"/>
    <w:rsid w:val="006554D8"/>
    <w:rsid w:val="00655DAE"/>
    <w:rsid w:val="0065667D"/>
    <w:rsid w:val="00657925"/>
    <w:rsid w:val="00657DB1"/>
    <w:rsid w:val="00660CA5"/>
    <w:rsid w:val="006611B8"/>
    <w:rsid w:val="006612D1"/>
    <w:rsid w:val="006616B3"/>
    <w:rsid w:val="00661895"/>
    <w:rsid w:val="00664DC0"/>
    <w:rsid w:val="006666E4"/>
    <w:rsid w:val="00666B83"/>
    <w:rsid w:val="00666D41"/>
    <w:rsid w:val="0066710F"/>
    <w:rsid w:val="006671C9"/>
    <w:rsid w:val="00667CC7"/>
    <w:rsid w:val="0067117F"/>
    <w:rsid w:val="00671C40"/>
    <w:rsid w:val="00672A8B"/>
    <w:rsid w:val="006735F9"/>
    <w:rsid w:val="00673D17"/>
    <w:rsid w:val="00675AE6"/>
    <w:rsid w:val="00675DBD"/>
    <w:rsid w:val="00676474"/>
    <w:rsid w:val="00676BA9"/>
    <w:rsid w:val="00677478"/>
    <w:rsid w:val="00677A50"/>
    <w:rsid w:val="00677B1D"/>
    <w:rsid w:val="00677DAF"/>
    <w:rsid w:val="00677EF5"/>
    <w:rsid w:val="00680697"/>
    <w:rsid w:val="006811CF"/>
    <w:rsid w:val="0068208D"/>
    <w:rsid w:val="006821AF"/>
    <w:rsid w:val="00682329"/>
    <w:rsid w:val="00682D40"/>
    <w:rsid w:val="00685844"/>
    <w:rsid w:val="00685903"/>
    <w:rsid w:val="006875CA"/>
    <w:rsid w:val="00690451"/>
    <w:rsid w:val="0069221A"/>
    <w:rsid w:val="006923BA"/>
    <w:rsid w:val="00693E5C"/>
    <w:rsid w:val="006946DC"/>
    <w:rsid w:val="006949EA"/>
    <w:rsid w:val="0069682D"/>
    <w:rsid w:val="00697968"/>
    <w:rsid w:val="00697B50"/>
    <w:rsid w:val="00697E17"/>
    <w:rsid w:val="006A0C0B"/>
    <w:rsid w:val="006A2982"/>
    <w:rsid w:val="006A2B64"/>
    <w:rsid w:val="006A317B"/>
    <w:rsid w:val="006A4620"/>
    <w:rsid w:val="006A4A1E"/>
    <w:rsid w:val="006A540B"/>
    <w:rsid w:val="006A5F4E"/>
    <w:rsid w:val="006A78A0"/>
    <w:rsid w:val="006A7E1D"/>
    <w:rsid w:val="006B09F7"/>
    <w:rsid w:val="006B3A71"/>
    <w:rsid w:val="006B3FF5"/>
    <w:rsid w:val="006B4675"/>
    <w:rsid w:val="006B6EF7"/>
    <w:rsid w:val="006B755A"/>
    <w:rsid w:val="006C014C"/>
    <w:rsid w:val="006C2717"/>
    <w:rsid w:val="006C3083"/>
    <w:rsid w:val="006C4B39"/>
    <w:rsid w:val="006C5F06"/>
    <w:rsid w:val="006C6CC8"/>
    <w:rsid w:val="006C7F5B"/>
    <w:rsid w:val="006D0C0A"/>
    <w:rsid w:val="006D34FD"/>
    <w:rsid w:val="006D43AE"/>
    <w:rsid w:val="006D4828"/>
    <w:rsid w:val="006D562E"/>
    <w:rsid w:val="006D69BE"/>
    <w:rsid w:val="006E0CDD"/>
    <w:rsid w:val="006E0D2B"/>
    <w:rsid w:val="006E4FC9"/>
    <w:rsid w:val="006E5056"/>
    <w:rsid w:val="006E6342"/>
    <w:rsid w:val="006E7F58"/>
    <w:rsid w:val="006F23FD"/>
    <w:rsid w:val="006F683C"/>
    <w:rsid w:val="006F7081"/>
    <w:rsid w:val="00700702"/>
    <w:rsid w:val="00700E3C"/>
    <w:rsid w:val="00702593"/>
    <w:rsid w:val="00704103"/>
    <w:rsid w:val="0070417E"/>
    <w:rsid w:val="00705383"/>
    <w:rsid w:val="0070569E"/>
    <w:rsid w:val="00705D0F"/>
    <w:rsid w:val="00706380"/>
    <w:rsid w:val="00706B14"/>
    <w:rsid w:val="00710009"/>
    <w:rsid w:val="007113C2"/>
    <w:rsid w:val="00712473"/>
    <w:rsid w:val="007124D9"/>
    <w:rsid w:val="00712A25"/>
    <w:rsid w:val="00714EE2"/>
    <w:rsid w:val="00715141"/>
    <w:rsid w:val="0072013C"/>
    <w:rsid w:val="0072123F"/>
    <w:rsid w:val="007217AA"/>
    <w:rsid w:val="007220D3"/>
    <w:rsid w:val="007225FD"/>
    <w:rsid w:val="00722B28"/>
    <w:rsid w:val="00722DBB"/>
    <w:rsid w:val="00722FA1"/>
    <w:rsid w:val="0072312E"/>
    <w:rsid w:val="00724932"/>
    <w:rsid w:val="00725BB1"/>
    <w:rsid w:val="007268EA"/>
    <w:rsid w:val="007271BD"/>
    <w:rsid w:val="007272F8"/>
    <w:rsid w:val="00730930"/>
    <w:rsid w:val="00730BAB"/>
    <w:rsid w:val="00731272"/>
    <w:rsid w:val="00732BF0"/>
    <w:rsid w:val="00733B04"/>
    <w:rsid w:val="00733CCC"/>
    <w:rsid w:val="00734926"/>
    <w:rsid w:val="00736C90"/>
    <w:rsid w:val="00740538"/>
    <w:rsid w:val="00740651"/>
    <w:rsid w:val="00740B03"/>
    <w:rsid w:val="00740FAF"/>
    <w:rsid w:val="00742814"/>
    <w:rsid w:val="007429F5"/>
    <w:rsid w:val="00742BFB"/>
    <w:rsid w:val="00743456"/>
    <w:rsid w:val="00744FAD"/>
    <w:rsid w:val="00745AE5"/>
    <w:rsid w:val="00747B66"/>
    <w:rsid w:val="007506EC"/>
    <w:rsid w:val="007509DC"/>
    <w:rsid w:val="007509F4"/>
    <w:rsid w:val="00751606"/>
    <w:rsid w:val="00753121"/>
    <w:rsid w:val="007534CC"/>
    <w:rsid w:val="007534DB"/>
    <w:rsid w:val="00753814"/>
    <w:rsid w:val="00753F2A"/>
    <w:rsid w:val="00754605"/>
    <w:rsid w:val="00754F09"/>
    <w:rsid w:val="007554F9"/>
    <w:rsid w:val="007556B8"/>
    <w:rsid w:val="007613B5"/>
    <w:rsid w:val="00761BEE"/>
    <w:rsid w:val="007621E1"/>
    <w:rsid w:val="0076256F"/>
    <w:rsid w:val="00764530"/>
    <w:rsid w:val="00765247"/>
    <w:rsid w:val="0076538C"/>
    <w:rsid w:val="00765E65"/>
    <w:rsid w:val="007668FD"/>
    <w:rsid w:val="007671E3"/>
    <w:rsid w:val="00767CC1"/>
    <w:rsid w:val="007703B8"/>
    <w:rsid w:val="00770673"/>
    <w:rsid w:val="00771418"/>
    <w:rsid w:val="007742B8"/>
    <w:rsid w:val="007745B1"/>
    <w:rsid w:val="00775BD6"/>
    <w:rsid w:val="007778C3"/>
    <w:rsid w:val="007807EB"/>
    <w:rsid w:val="00781C53"/>
    <w:rsid w:val="00782293"/>
    <w:rsid w:val="00783601"/>
    <w:rsid w:val="007857E9"/>
    <w:rsid w:val="00786CE1"/>
    <w:rsid w:val="00787242"/>
    <w:rsid w:val="00787681"/>
    <w:rsid w:val="00790482"/>
    <w:rsid w:val="00790BEE"/>
    <w:rsid w:val="00790EF6"/>
    <w:rsid w:val="00791365"/>
    <w:rsid w:val="00791801"/>
    <w:rsid w:val="00791EC3"/>
    <w:rsid w:val="007937ED"/>
    <w:rsid w:val="00793E3A"/>
    <w:rsid w:val="00794666"/>
    <w:rsid w:val="00795316"/>
    <w:rsid w:val="0079691A"/>
    <w:rsid w:val="007A0954"/>
    <w:rsid w:val="007A1113"/>
    <w:rsid w:val="007A3E12"/>
    <w:rsid w:val="007A638E"/>
    <w:rsid w:val="007B15B9"/>
    <w:rsid w:val="007B1D56"/>
    <w:rsid w:val="007B2161"/>
    <w:rsid w:val="007B4ED3"/>
    <w:rsid w:val="007B6F16"/>
    <w:rsid w:val="007B768A"/>
    <w:rsid w:val="007B7D9C"/>
    <w:rsid w:val="007C1115"/>
    <w:rsid w:val="007C1D29"/>
    <w:rsid w:val="007C2A33"/>
    <w:rsid w:val="007C3491"/>
    <w:rsid w:val="007C367B"/>
    <w:rsid w:val="007C42ED"/>
    <w:rsid w:val="007C55C0"/>
    <w:rsid w:val="007C63EE"/>
    <w:rsid w:val="007C751B"/>
    <w:rsid w:val="007D1E5B"/>
    <w:rsid w:val="007D1EB0"/>
    <w:rsid w:val="007D21A6"/>
    <w:rsid w:val="007D4414"/>
    <w:rsid w:val="007D5641"/>
    <w:rsid w:val="007D5CB8"/>
    <w:rsid w:val="007D5D62"/>
    <w:rsid w:val="007D648F"/>
    <w:rsid w:val="007D7772"/>
    <w:rsid w:val="007E0EA8"/>
    <w:rsid w:val="007E0EAC"/>
    <w:rsid w:val="007E23F0"/>
    <w:rsid w:val="007E32C6"/>
    <w:rsid w:val="007E3580"/>
    <w:rsid w:val="007E3BA6"/>
    <w:rsid w:val="007E4DA2"/>
    <w:rsid w:val="007E4DB8"/>
    <w:rsid w:val="007E51BF"/>
    <w:rsid w:val="007E56A4"/>
    <w:rsid w:val="007F146A"/>
    <w:rsid w:val="007F177C"/>
    <w:rsid w:val="007F1DA9"/>
    <w:rsid w:val="007F2925"/>
    <w:rsid w:val="007F4032"/>
    <w:rsid w:val="007F50BA"/>
    <w:rsid w:val="007F5CB9"/>
    <w:rsid w:val="007F7518"/>
    <w:rsid w:val="0080088E"/>
    <w:rsid w:val="00800A9D"/>
    <w:rsid w:val="00801A86"/>
    <w:rsid w:val="0080229D"/>
    <w:rsid w:val="008035FD"/>
    <w:rsid w:val="008063D5"/>
    <w:rsid w:val="008120B7"/>
    <w:rsid w:val="00812E1A"/>
    <w:rsid w:val="00813038"/>
    <w:rsid w:val="0081329B"/>
    <w:rsid w:val="00813C26"/>
    <w:rsid w:val="00814740"/>
    <w:rsid w:val="008155C1"/>
    <w:rsid w:val="0081573C"/>
    <w:rsid w:val="0081597D"/>
    <w:rsid w:val="00815F9E"/>
    <w:rsid w:val="00816127"/>
    <w:rsid w:val="00816355"/>
    <w:rsid w:val="00816439"/>
    <w:rsid w:val="00821978"/>
    <w:rsid w:val="00822232"/>
    <w:rsid w:val="00824594"/>
    <w:rsid w:val="00824887"/>
    <w:rsid w:val="008258F7"/>
    <w:rsid w:val="00827CE0"/>
    <w:rsid w:val="00827CFB"/>
    <w:rsid w:val="00832321"/>
    <w:rsid w:val="008323D0"/>
    <w:rsid w:val="00834825"/>
    <w:rsid w:val="008358ED"/>
    <w:rsid w:val="00835ECA"/>
    <w:rsid w:val="008364A3"/>
    <w:rsid w:val="0083675F"/>
    <w:rsid w:val="0083693D"/>
    <w:rsid w:val="00837A2F"/>
    <w:rsid w:val="00837DB8"/>
    <w:rsid w:val="00837E5B"/>
    <w:rsid w:val="00840073"/>
    <w:rsid w:val="00841FF5"/>
    <w:rsid w:val="00842237"/>
    <w:rsid w:val="00842B85"/>
    <w:rsid w:val="00844636"/>
    <w:rsid w:val="00845723"/>
    <w:rsid w:val="0084609B"/>
    <w:rsid w:val="00847029"/>
    <w:rsid w:val="00847436"/>
    <w:rsid w:val="00851801"/>
    <w:rsid w:val="00855A88"/>
    <w:rsid w:val="00856591"/>
    <w:rsid w:val="0085660E"/>
    <w:rsid w:val="00860413"/>
    <w:rsid w:val="00860613"/>
    <w:rsid w:val="00860782"/>
    <w:rsid w:val="008617CC"/>
    <w:rsid w:val="00863359"/>
    <w:rsid w:val="00863514"/>
    <w:rsid w:val="008666CE"/>
    <w:rsid w:val="00866D90"/>
    <w:rsid w:val="00866E29"/>
    <w:rsid w:val="00866F4F"/>
    <w:rsid w:val="00866FE7"/>
    <w:rsid w:val="008707A0"/>
    <w:rsid w:val="00870B0D"/>
    <w:rsid w:val="008712EB"/>
    <w:rsid w:val="00871478"/>
    <w:rsid w:val="0087221E"/>
    <w:rsid w:val="00872583"/>
    <w:rsid w:val="008728AC"/>
    <w:rsid w:val="00872E1C"/>
    <w:rsid w:val="008748D7"/>
    <w:rsid w:val="00874B8E"/>
    <w:rsid w:val="00876392"/>
    <w:rsid w:val="008779C5"/>
    <w:rsid w:val="008800DC"/>
    <w:rsid w:val="0088178D"/>
    <w:rsid w:val="00881BC7"/>
    <w:rsid w:val="0088230D"/>
    <w:rsid w:val="00882DD1"/>
    <w:rsid w:val="0088346C"/>
    <w:rsid w:val="00885356"/>
    <w:rsid w:val="0089039A"/>
    <w:rsid w:val="00890B2F"/>
    <w:rsid w:val="00890B81"/>
    <w:rsid w:val="008924EB"/>
    <w:rsid w:val="00892F18"/>
    <w:rsid w:val="008931FA"/>
    <w:rsid w:val="00894B3A"/>
    <w:rsid w:val="008956FE"/>
    <w:rsid w:val="008965F1"/>
    <w:rsid w:val="008978D0"/>
    <w:rsid w:val="008A04E9"/>
    <w:rsid w:val="008A0692"/>
    <w:rsid w:val="008A15AC"/>
    <w:rsid w:val="008A15FC"/>
    <w:rsid w:val="008A1DA6"/>
    <w:rsid w:val="008A3635"/>
    <w:rsid w:val="008A6823"/>
    <w:rsid w:val="008B034E"/>
    <w:rsid w:val="008B1CB0"/>
    <w:rsid w:val="008B2D64"/>
    <w:rsid w:val="008B30FD"/>
    <w:rsid w:val="008B34F7"/>
    <w:rsid w:val="008B3D91"/>
    <w:rsid w:val="008B4CB2"/>
    <w:rsid w:val="008B4F7F"/>
    <w:rsid w:val="008B5E96"/>
    <w:rsid w:val="008B67E7"/>
    <w:rsid w:val="008B67EE"/>
    <w:rsid w:val="008B6F5F"/>
    <w:rsid w:val="008B7998"/>
    <w:rsid w:val="008C1125"/>
    <w:rsid w:val="008C2324"/>
    <w:rsid w:val="008C2E92"/>
    <w:rsid w:val="008C3735"/>
    <w:rsid w:val="008C46EA"/>
    <w:rsid w:val="008C492D"/>
    <w:rsid w:val="008C4A70"/>
    <w:rsid w:val="008C51A1"/>
    <w:rsid w:val="008C54AE"/>
    <w:rsid w:val="008C5504"/>
    <w:rsid w:val="008C6BA5"/>
    <w:rsid w:val="008C6E6B"/>
    <w:rsid w:val="008C740B"/>
    <w:rsid w:val="008C74D6"/>
    <w:rsid w:val="008C7AD7"/>
    <w:rsid w:val="008C7E36"/>
    <w:rsid w:val="008D041D"/>
    <w:rsid w:val="008D17B2"/>
    <w:rsid w:val="008D1A09"/>
    <w:rsid w:val="008D2736"/>
    <w:rsid w:val="008D2911"/>
    <w:rsid w:val="008D5A82"/>
    <w:rsid w:val="008D6EDB"/>
    <w:rsid w:val="008D76D2"/>
    <w:rsid w:val="008D7A0C"/>
    <w:rsid w:val="008E0535"/>
    <w:rsid w:val="008E08A6"/>
    <w:rsid w:val="008E08FD"/>
    <w:rsid w:val="008E2B3F"/>
    <w:rsid w:val="008E3481"/>
    <w:rsid w:val="008E3A52"/>
    <w:rsid w:val="008E45F8"/>
    <w:rsid w:val="008E54AE"/>
    <w:rsid w:val="008E609A"/>
    <w:rsid w:val="008E6B42"/>
    <w:rsid w:val="008E74FB"/>
    <w:rsid w:val="008F1479"/>
    <w:rsid w:val="008F2374"/>
    <w:rsid w:val="008F3146"/>
    <w:rsid w:val="008F379B"/>
    <w:rsid w:val="008F3E5F"/>
    <w:rsid w:val="008F3ED4"/>
    <w:rsid w:val="008F4155"/>
    <w:rsid w:val="008F4314"/>
    <w:rsid w:val="00900BD6"/>
    <w:rsid w:val="0090159C"/>
    <w:rsid w:val="0090203B"/>
    <w:rsid w:val="00902DCF"/>
    <w:rsid w:val="009032A9"/>
    <w:rsid w:val="009033A6"/>
    <w:rsid w:val="00903AF9"/>
    <w:rsid w:val="00903E3D"/>
    <w:rsid w:val="009046C2"/>
    <w:rsid w:val="00905331"/>
    <w:rsid w:val="00905658"/>
    <w:rsid w:val="009066DF"/>
    <w:rsid w:val="00906A20"/>
    <w:rsid w:val="0090713F"/>
    <w:rsid w:val="00907583"/>
    <w:rsid w:val="0091123E"/>
    <w:rsid w:val="009127F8"/>
    <w:rsid w:val="00913CA8"/>
    <w:rsid w:val="00914322"/>
    <w:rsid w:val="00916D06"/>
    <w:rsid w:val="00916EFC"/>
    <w:rsid w:val="00916F2B"/>
    <w:rsid w:val="0092257A"/>
    <w:rsid w:val="00922A5D"/>
    <w:rsid w:val="009238A5"/>
    <w:rsid w:val="00923B9F"/>
    <w:rsid w:val="009300BF"/>
    <w:rsid w:val="0093114C"/>
    <w:rsid w:val="0093287E"/>
    <w:rsid w:val="00932F1D"/>
    <w:rsid w:val="009337DE"/>
    <w:rsid w:val="00935684"/>
    <w:rsid w:val="0093585C"/>
    <w:rsid w:val="00935F75"/>
    <w:rsid w:val="00937F1E"/>
    <w:rsid w:val="0094051E"/>
    <w:rsid w:val="00940A1A"/>
    <w:rsid w:val="009418AE"/>
    <w:rsid w:val="0094230C"/>
    <w:rsid w:val="009447DF"/>
    <w:rsid w:val="009459E9"/>
    <w:rsid w:val="00947224"/>
    <w:rsid w:val="00947E02"/>
    <w:rsid w:val="00950C64"/>
    <w:rsid w:val="00952211"/>
    <w:rsid w:val="009522B4"/>
    <w:rsid w:val="009533F7"/>
    <w:rsid w:val="00954DFE"/>
    <w:rsid w:val="0095543F"/>
    <w:rsid w:val="00955441"/>
    <w:rsid w:val="009554E8"/>
    <w:rsid w:val="0095563F"/>
    <w:rsid w:val="0095576C"/>
    <w:rsid w:val="0095646F"/>
    <w:rsid w:val="00956ADA"/>
    <w:rsid w:val="00956DD3"/>
    <w:rsid w:val="0095713C"/>
    <w:rsid w:val="00962BAC"/>
    <w:rsid w:val="009634D1"/>
    <w:rsid w:val="009644AD"/>
    <w:rsid w:val="009651C7"/>
    <w:rsid w:val="009656C8"/>
    <w:rsid w:val="009657EB"/>
    <w:rsid w:val="009658E4"/>
    <w:rsid w:val="009676CB"/>
    <w:rsid w:val="0096787B"/>
    <w:rsid w:val="00967ED5"/>
    <w:rsid w:val="00970501"/>
    <w:rsid w:val="00971A3B"/>
    <w:rsid w:val="00972538"/>
    <w:rsid w:val="0097297D"/>
    <w:rsid w:val="00972C14"/>
    <w:rsid w:val="00972D16"/>
    <w:rsid w:val="00972D48"/>
    <w:rsid w:val="00973295"/>
    <w:rsid w:val="00973BBA"/>
    <w:rsid w:val="00974744"/>
    <w:rsid w:val="00975A6E"/>
    <w:rsid w:val="0097638B"/>
    <w:rsid w:val="009765E0"/>
    <w:rsid w:val="00976966"/>
    <w:rsid w:val="0098023B"/>
    <w:rsid w:val="00982CE1"/>
    <w:rsid w:val="00982FA1"/>
    <w:rsid w:val="00983C85"/>
    <w:rsid w:val="00983FD5"/>
    <w:rsid w:val="00984579"/>
    <w:rsid w:val="00984855"/>
    <w:rsid w:val="00984EE0"/>
    <w:rsid w:val="00985BB9"/>
    <w:rsid w:val="00985DF7"/>
    <w:rsid w:val="00985F83"/>
    <w:rsid w:val="0098600E"/>
    <w:rsid w:val="0098615F"/>
    <w:rsid w:val="0098680C"/>
    <w:rsid w:val="009906EA"/>
    <w:rsid w:val="009921C3"/>
    <w:rsid w:val="00992AC2"/>
    <w:rsid w:val="009934B1"/>
    <w:rsid w:val="009939C8"/>
    <w:rsid w:val="00995BF5"/>
    <w:rsid w:val="0099735D"/>
    <w:rsid w:val="009973E9"/>
    <w:rsid w:val="00997539"/>
    <w:rsid w:val="00997E09"/>
    <w:rsid w:val="009A243D"/>
    <w:rsid w:val="009A308F"/>
    <w:rsid w:val="009A3CC7"/>
    <w:rsid w:val="009A677E"/>
    <w:rsid w:val="009A6813"/>
    <w:rsid w:val="009A79F8"/>
    <w:rsid w:val="009B0863"/>
    <w:rsid w:val="009B089B"/>
    <w:rsid w:val="009B0EAE"/>
    <w:rsid w:val="009B14E1"/>
    <w:rsid w:val="009B2B0F"/>
    <w:rsid w:val="009B2B16"/>
    <w:rsid w:val="009B3413"/>
    <w:rsid w:val="009B3B28"/>
    <w:rsid w:val="009B555F"/>
    <w:rsid w:val="009B63C0"/>
    <w:rsid w:val="009B6844"/>
    <w:rsid w:val="009B75C3"/>
    <w:rsid w:val="009C1FCA"/>
    <w:rsid w:val="009C2BF7"/>
    <w:rsid w:val="009C44F5"/>
    <w:rsid w:val="009C480C"/>
    <w:rsid w:val="009C7C10"/>
    <w:rsid w:val="009D02F3"/>
    <w:rsid w:val="009D05B7"/>
    <w:rsid w:val="009D1522"/>
    <w:rsid w:val="009D192F"/>
    <w:rsid w:val="009D2485"/>
    <w:rsid w:val="009D34ED"/>
    <w:rsid w:val="009D37BD"/>
    <w:rsid w:val="009D42E8"/>
    <w:rsid w:val="009D4451"/>
    <w:rsid w:val="009D5117"/>
    <w:rsid w:val="009D7FB2"/>
    <w:rsid w:val="009E2D26"/>
    <w:rsid w:val="009E3801"/>
    <w:rsid w:val="009E47FC"/>
    <w:rsid w:val="009E576F"/>
    <w:rsid w:val="009E5B56"/>
    <w:rsid w:val="009E6862"/>
    <w:rsid w:val="009E767D"/>
    <w:rsid w:val="009E7F4F"/>
    <w:rsid w:val="009F1AE1"/>
    <w:rsid w:val="009F21CF"/>
    <w:rsid w:val="009F2A65"/>
    <w:rsid w:val="009F2F62"/>
    <w:rsid w:val="009F3BB3"/>
    <w:rsid w:val="009F5FC4"/>
    <w:rsid w:val="009F6050"/>
    <w:rsid w:val="009F767E"/>
    <w:rsid w:val="009F7C96"/>
    <w:rsid w:val="00A00C14"/>
    <w:rsid w:val="00A046EA"/>
    <w:rsid w:val="00A04C8C"/>
    <w:rsid w:val="00A0566E"/>
    <w:rsid w:val="00A057AD"/>
    <w:rsid w:val="00A05D88"/>
    <w:rsid w:val="00A06351"/>
    <w:rsid w:val="00A069EB"/>
    <w:rsid w:val="00A06D01"/>
    <w:rsid w:val="00A10F4E"/>
    <w:rsid w:val="00A11614"/>
    <w:rsid w:val="00A12A8F"/>
    <w:rsid w:val="00A13A12"/>
    <w:rsid w:val="00A15312"/>
    <w:rsid w:val="00A17930"/>
    <w:rsid w:val="00A20F47"/>
    <w:rsid w:val="00A2130B"/>
    <w:rsid w:val="00A22657"/>
    <w:rsid w:val="00A22E37"/>
    <w:rsid w:val="00A247DE"/>
    <w:rsid w:val="00A25197"/>
    <w:rsid w:val="00A2555B"/>
    <w:rsid w:val="00A258FA"/>
    <w:rsid w:val="00A25D8C"/>
    <w:rsid w:val="00A27A9F"/>
    <w:rsid w:val="00A32A48"/>
    <w:rsid w:val="00A32F38"/>
    <w:rsid w:val="00A343FA"/>
    <w:rsid w:val="00A35A93"/>
    <w:rsid w:val="00A3648C"/>
    <w:rsid w:val="00A36D6A"/>
    <w:rsid w:val="00A372AE"/>
    <w:rsid w:val="00A40325"/>
    <w:rsid w:val="00A41B2C"/>
    <w:rsid w:val="00A456A8"/>
    <w:rsid w:val="00A45C4C"/>
    <w:rsid w:val="00A45E62"/>
    <w:rsid w:val="00A45F3C"/>
    <w:rsid w:val="00A45FAE"/>
    <w:rsid w:val="00A46E9B"/>
    <w:rsid w:val="00A4786B"/>
    <w:rsid w:val="00A4788E"/>
    <w:rsid w:val="00A51B74"/>
    <w:rsid w:val="00A51D20"/>
    <w:rsid w:val="00A521CB"/>
    <w:rsid w:val="00A5250C"/>
    <w:rsid w:val="00A53D51"/>
    <w:rsid w:val="00A549AB"/>
    <w:rsid w:val="00A549B7"/>
    <w:rsid w:val="00A55036"/>
    <w:rsid w:val="00A55522"/>
    <w:rsid w:val="00A560C2"/>
    <w:rsid w:val="00A56418"/>
    <w:rsid w:val="00A61DC7"/>
    <w:rsid w:val="00A61E9A"/>
    <w:rsid w:val="00A6232F"/>
    <w:rsid w:val="00A6289B"/>
    <w:rsid w:val="00A6425D"/>
    <w:rsid w:val="00A6579A"/>
    <w:rsid w:val="00A65E2F"/>
    <w:rsid w:val="00A65EED"/>
    <w:rsid w:val="00A65F2D"/>
    <w:rsid w:val="00A6651D"/>
    <w:rsid w:val="00A67477"/>
    <w:rsid w:val="00A701E8"/>
    <w:rsid w:val="00A7111F"/>
    <w:rsid w:val="00A712F0"/>
    <w:rsid w:val="00A71332"/>
    <w:rsid w:val="00A7134D"/>
    <w:rsid w:val="00A71A2F"/>
    <w:rsid w:val="00A724ED"/>
    <w:rsid w:val="00A729A3"/>
    <w:rsid w:val="00A74023"/>
    <w:rsid w:val="00A74915"/>
    <w:rsid w:val="00A74CB2"/>
    <w:rsid w:val="00A74D94"/>
    <w:rsid w:val="00A75501"/>
    <w:rsid w:val="00A7695E"/>
    <w:rsid w:val="00A76E46"/>
    <w:rsid w:val="00A77AEF"/>
    <w:rsid w:val="00A80513"/>
    <w:rsid w:val="00A80CA3"/>
    <w:rsid w:val="00A81881"/>
    <w:rsid w:val="00A81ABC"/>
    <w:rsid w:val="00A82AB7"/>
    <w:rsid w:val="00A837F1"/>
    <w:rsid w:val="00A839CE"/>
    <w:rsid w:val="00A83AB3"/>
    <w:rsid w:val="00A83D46"/>
    <w:rsid w:val="00A84489"/>
    <w:rsid w:val="00A844F0"/>
    <w:rsid w:val="00A84F3A"/>
    <w:rsid w:val="00A86DD0"/>
    <w:rsid w:val="00A9056C"/>
    <w:rsid w:val="00A908A3"/>
    <w:rsid w:val="00A908D3"/>
    <w:rsid w:val="00A92F11"/>
    <w:rsid w:val="00A9440B"/>
    <w:rsid w:val="00A94444"/>
    <w:rsid w:val="00A95AA3"/>
    <w:rsid w:val="00A96037"/>
    <w:rsid w:val="00A96A73"/>
    <w:rsid w:val="00AA0088"/>
    <w:rsid w:val="00AA008C"/>
    <w:rsid w:val="00AA108D"/>
    <w:rsid w:val="00AA24E0"/>
    <w:rsid w:val="00AA6517"/>
    <w:rsid w:val="00AA7640"/>
    <w:rsid w:val="00AA7D07"/>
    <w:rsid w:val="00AB0909"/>
    <w:rsid w:val="00AB219B"/>
    <w:rsid w:val="00AB2273"/>
    <w:rsid w:val="00AB235E"/>
    <w:rsid w:val="00AB27F0"/>
    <w:rsid w:val="00AB2959"/>
    <w:rsid w:val="00AB2FBB"/>
    <w:rsid w:val="00AB3832"/>
    <w:rsid w:val="00AB3EDD"/>
    <w:rsid w:val="00AB4004"/>
    <w:rsid w:val="00AB4799"/>
    <w:rsid w:val="00AB5F55"/>
    <w:rsid w:val="00AB7122"/>
    <w:rsid w:val="00AB7320"/>
    <w:rsid w:val="00AB7564"/>
    <w:rsid w:val="00AB7C61"/>
    <w:rsid w:val="00AC0794"/>
    <w:rsid w:val="00AC1ECD"/>
    <w:rsid w:val="00AC3C59"/>
    <w:rsid w:val="00AC44BC"/>
    <w:rsid w:val="00AC728C"/>
    <w:rsid w:val="00AD0359"/>
    <w:rsid w:val="00AD1C6A"/>
    <w:rsid w:val="00AD204D"/>
    <w:rsid w:val="00AD2134"/>
    <w:rsid w:val="00AD4649"/>
    <w:rsid w:val="00AD4CCE"/>
    <w:rsid w:val="00AD5421"/>
    <w:rsid w:val="00AD5BCE"/>
    <w:rsid w:val="00AD5C8F"/>
    <w:rsid w:val="00AD75B0"/>
    <w:rsid w:val="00AE1804"/>
    <w:rsid w:val="00AE18D9"/>
    <w:rsid w:val="00AE2C43"/>
    <w:rsid w:val="00AE3C9B"/>
    <w:rsid w:val="00AE44C3"/>
    <w:rsid w:val="00AF073F"/>
    <w:rsid w:val="00AF163F"/>
    <w:rsid w:val="00AF26B8"/>
    <w:rsid w:val="00AF2704"/>
    <w:rsid w:val="00AF3C99"/>
    <w:rsid w:val="00AF5498"/>
    <w:rsid w:val="00AF5FEE"/>
    <w:rsid w:val="00B01A42"/>
    <w:rsid w:val="00B01B16"/>
    <w:rsid w:val="00B01EC6"/>
    <w:rsid w:val="00B024D9"/>
    <w:rsid w:val="00B02BE4"/>
    <w:rsid w:val="00B03249"/>
    <w:rsid w:val="00B0340B"/>
    <w:rsid w:val="00B04430"/>
    <w:rsid w:val="00B04DD0"/>
    <w:rsid w:val="00B06FE6"/>
    <w:rsid w:val="00B07458"/>
    <w:rsid w:val="00B07A98"/>
    <w:rsid w:val="00B07EDB"/>
    <w:rsid w:val="00B1030C"/>
    <w:rsid w:val="00B11AE4"/>
    <w:rsid w:val="00B11DBD"/>
    <w:rsid w:val="00B11F3B"/>
    <w:rsid w:val="00B1239E"/>
    <w:rsid w:val="00B12E1E"/>
    <w:rsid w:val="00B1318C"/>
    <w:rsid w:val="00B14229"/>
    <w:rsid w:val="00B1448B"/>
    <w:rsid w:val="00B1540A"/>
    <w:rsid w:val="00B178A9"/>
    <w:rsid w:val="00B21C9D"/>
    <w:rsid w:val="00B21D3E"/>
    <w:rsid w:val="00B21DF9"/>
    <w:rsid w:val="00B22779"/>
    <w:rsid w:val="00B22AA5"/>
    <w:rsid w:val="00B23201"/>
    <w:rsid w:val="00B23888"/>
    <w:rsid w:val="00B246FE"/>
    <w:rsid w:val="00B248DE"/>
    <w:rsid w:val="00B24C6A"/>
    <w:rsid w:val="00B256C4"/>
    <w:rsid w:val="00B25784"/>
    <w:rsid w:val="00B264B0"/>
    <w:rsid w:val="00B26F2B"/>
    <w:rsid w:val="00B276BA"/>
    <w:rsid w:val="00B316A3"/>
    <w:rsid w:val="00B32B20"/>
    <w:rsid w:val="00B33332"/>
    <w:rsid w:val="00B33AA6"/>
    <w:rsid w:val="00B342AE"/>
    <w:rsid w:val="00B3498F"/>
    <w:rsid w:val="00B34C54"/>
    <w:rsid w:val="00B355AB"/>
    <w:rsid w:val="00B40118"/>
    <w:rsid w:val="00B411E3"/>
    <w:rsid w:val="00B419C3"/>
    <w:rsid w:val="00B420ED"/>
    <w:rsid w:val="00B4255B"/>
    <w:rsid w:val="00B42786"/>
    <w:rsid w:val="00B43044"/>
    <w:rsid w:val="00B43376"/>
    <w:rsid w:val="00B43918"/>
    <w:rsid w:val="00B43ECA"/>
    <w:rsid w:val="00B45694"/>
    <w:rsid w:val="00B45776"/>
    <w:rsid w:val="00B45B5E"/>
    <w:rsid w:val="00B469F3"/>
    <w:rsid w:val="00B50D27"/>
    <w:rsid w:val="00B50EAA"/>
    <w:rsid w:val="00B50F24"/>
    <w:rsid w:val="00B51150"/>
    <w:rsid w:val="00B51BE7"/>
    <w:rsid w:val="00B5299C"/>
    <w:rsid w:val="00B52A30"/>
    <w:rsid w:val="00B52A76"/>
    <w:rsid w:val="00B53587"/>
    <w:rsid w:val="00B535E0"/>
    <w:rsid w:val="00B54D3B"/>
    <w:rsid w:val="00B57461"/>
    <w:rsid w:val="00B57883"/>
    <w:rsid w:val="00B61D2D"/>
    <w:rsid w:val="00B62A52"/>
    <w:rsid w:val="00B63A09"/>
    <w:rsid w:val="00B641E5"/>
    <w:rsid w:val="00B71FFF"/>
    <w:rsid w:val="00B72354"/>
    <w:rsid w:val="00B735AB"/>
    <w:rsid w:val="00B73C57"/>
    <w:rsid w:val="00B75B93"/>
    <w:rsid w:val="00B76EF6"/>
    <w:rsid w:val="00B77AA8"/>
    <w:rsid w:val="00B813E4"/>
    <w:rsid w:val="00B81D70"/>
    <w:rsid w:val="00B82C72"/>
    <w:rsid w:val="00B83385"/>
    <w:rsid w:val="00B83670"/>
    <w:rsid w:val="00B83B6C"/>
    <w:rsid w:val="00B84540"/>
    <w:rsid w:val="00B8486B"/>
    <w:rsid w:val="00B84A9E"/>
    <w:rsid w:val="00B851CC"/>
    <w:rsid w:val="00B85767"/>
    <w:rsid w:val="00B85B06"/>
    <w:rsid w:val="00B86CF9"/>
    <w:rsid w:val="00B874ED"/>
    <w:rsid w:val="00B901DD"/>
    <w:rsid w:val="00B9068C"/>
    <w:rsid w:val="00B908E3"/>
    <w:rsid w:val="00B9197D"/>
    <w:rsid w:val="00B91D90"/>
    <w:rsid w:val="00B92537"/>
    <w:rsid w:val="00B92E03"/>
    <w:rsid w:val="00B9307E"/>
    <w:rsid w:val="00B938AE"/>
    <w:rsid w:val="00B93A3F"/>
    <w:rsid w:val="00B945A0"/>
    <w:rsid w:val="00B94A9F"/>
    <w:rsid w:val="00B94F71"/>
    <w:rsid w:val="00B95157"/>
    <w:rsid w:val="00B95CA8"/>
    <w:rsid w:val="00B97AAB"/>
    <w:rsid w:val="00BA0C97"/>
    <w:rsid w:val="00BA26B9"/>
    <w:rsid w:val="00BA2D8A"/>
    <w:rsid w:val="00BA2FD1"/>
    <w:rsid w:val="00BA34DF"/>
    <w:rsid w:val="00BA460B"/>
    <w:rsid w:val="00BA46D4"/>
    <w:rsid w:val="00BA5E53"/>
    <w:rsid w:val="00BA6A40"/>
    <w:rsid w:val="00BA6D6A"/>
    <w:rsid w:val="00BB09AB"/>
    <w:rsid w:val="00BB1189"/>
    <w:rsid w:val="00BB15FE"/>
    <w:rsid w:val="00BB1C1A"/>
    <w:rsid w:val="00BB3B9C"/>
    <w:rsid w:val="00BB42F2"/>
    <w:rsid w:val="00BB4462"/>
    <w:rsid w:val="00BB4495"/>
    <w:rsid w:val="00BB557B"/>
    <w:rsid w:val="00BB56F7"/>
    <w:rsid w:val="00BB57B2"/>
    <w:rsid w:val="00BB6B5F"/>
    <w:rsid w:val="00BB6DEC"/>
    <w:rsid w:val="00BB70F7"/>
    <w:rsid w:val="00BC037B"/>
    <w:rsid w:val="00BC1AF6"/>
    <w:rsid w:val="00BC1EA8"/>
    <w:rsid w:val="00BC25ED"/>
    <w:rsid w:val="00BC29AD"/>
    <w:rsid w:val="00BC2E13"/>
    <w:rsid w:val="00BC2EE2"/>
    <w:rsid w:val="00BC3A9E"/>
    <w:rsid w:val="00BC4587"/>
    <w:rsid w:val="00BC4735"/>
    <w:rsid w:val="00BC57B2"/>
    <w:rsid w:val="00BC65DA"/>
    <w:rsid w:val="00BD0DE4"/>
    <w:rsid w:val="00BD0E6B"/>
    <w:rsid w:val="00BD12DB"/>
    <w:rsid w:val="00BD3B14"/>
    <w:rsid w:val="00BD45B4"/>
    <w:rsid w:val="00BD5099"/>
    <w:rsid w:val="00BD6606"/>
    <w:rsid w:val="00BD66C5"/>
    <w:rsid w:val="00BD726F"/>
    <w:rsid w:val="00BD7F44"/>
    <w:rsid w:val="00BE0010"/>
    <w:rsid w:val="00BE0C6D"/>
    <w:rsid w:val="00BE0ED6"/>
    <w:rsid w:val="00BE1305"/>
    <w:rsid w:val="00BE2889"/>
    <w:rsid w:val="00BE3065"/>
    <w:rsid w:val="00BE3314"/>
    <w:rsid w:val="00BE337A"/>
    <w:rsid w:val="00BE3A4D"/>
    <w:rsid w:val="00BE3BED"/>
    <w:rsid w:val="00BE64A6"/>
    <w:rsid w:val="00BE65A4"/>
    <w:rsid w:val="00BE6D24"/>
    <w:rsid w:val="00BE72AE"/>
    <w:rsid w:val="00BF0085"/>
    <w:rsid w:val="00BF0178"/>
    <w:rsid w:val="00BF024F"/>
    <w:rsid w:val="00BF0FB0"/>
    <w:rsid w:val="00BF3121"/>
    <w:rsid w:val="00BF3A2C"/>
    <w:rsid w:val="00BF3DE1"/>
    <w:rsid w:val="00BF573A"/>
    <w:rsid w:val="00BF5CE9"/>
    <w:rsid w:val="00BF5CF0"/>
    <w:rsid w:val="00BF6C81"/>
    <w:rsid w:val="00BF6EE9"/>
    <w:rsid w:val="00BF7C11"/>
    <w:rsid w:val="00C003DA"/>
    <w:rsid w:val="00C0274B"/>
    <w:rsid w:val="00C0282E"/>
    <w:rsid w:val="00C041AD"/>
    <w:rsid w:val="00C04807"/>
    <w:rsid w:val="00C04E63"/>
    <w:rsid w:val="00C0500C"/>
    <w:rsid w:val="00C0508F"/>
    <w:rsid w:val="00C06282"/>
    <w:rsid w:val="00C06318"/>
    <w:rsid w:val="00C06E32"/>
    <w:rsid w:val="00C07080"/>
    <w:rsid w:val="00C07A30"/>
    <w:rsid w:val="00C1011E"/>
    <w:rsid w:val="00C10F23"/>
    <w:rsid w:val="00C11679"/>
    <w:rsid w:val="00C12143"/>
    <w:rsid w:val="00C12162"/>
    <w:rsid w:val="00C12802"/>
    <w:rsid w:val="00C13E5F"/>
    <w:rsid w:val="00C14208"/>
    <w:rsid w:val="00C1489B"/>
    <w:rsid w:val="00C14C5E"/>
    <w:rsid w:val="00C15674"/>
    <w:rsid w:val="00C157B1"/>
    <w:rsid w:val="00C15E9D"/>
    <w:rsid w:val="00C16376"/>
    <w:rsid w:val="00C1659A"/>
    <w:rsid w:val="00C20999"/>
    <w:rsid w:val="00C21CD4"/>
    <w:rsid w:val="00C22570"/>
    <w:rsid w:val="00C23070"/>
    <w:rsid w:val="00C2323A"/>
    <w:rsid w:val="00C238B4"/>
    <w:rsid w:val="00C242DE"/>
    <w:rsid w:val="00C2432F"/>
    <w:rsid w:val="00C24737"/>
    <w:rsid w:val="00C24878"/>
    <w:rsid w:val="00C2532D"/>
    <w:rsid w:val="00C25DAD"/>
    <w:rsid w:val="00C26067"/>
    <w:rsid w:val="00C26813"/>
    <w:rsid w:val="00C302FA"/>
    <w:rsid w:val="00C3062B"/>
    <w:rsid w:val="00C3090F"/>
    <w:rsid w:val="00C31903"/>
    <w:rsid w:val="00C3222D"/>
    <w:rsid w:val="00C3292F"/>
    <w:rsid w:val="00C3541F"/>
    <w:rsid w:val="00C35C50"/>
    <w:rsid w:val="00C41AF1"/>
    <w:rsid w:val="00C423D2"/>
    <w:rsid w:val="00C429C5"/>
    <w:rsid w:val="00C432DA"/>
    <w:rsid w:val="00C43A25"/>
    <w:rsid w:val="00C43FE2"/>
    <w:rsid w:val="00C459C6"/>
    <w:rsid w:val="00C47CB3"/>
    <w:rsid w:val="00C47F48"/>
    <w:rsid w:val="00C50430"/>
    <w:rsid w:val="00C5347D"/>
    <w:rsid w:val="00C53701"/>
    <w:rsid w:val="00C538C6"/>
    <w:rsid w:val="00C53A21"/>
    <w:rsid w:val="00C5524B"/>
    <w:rsid w:val="00C55727"/>
    <w:rsid w:val="00C55C39"/>
    <w:rsid w:val="00C56309"/>
    <w:rsid w:val="00C568B6"/>
    <w:rsid w:val="00C57565"/>
    <w:rsid w:val="00C61AD4"/>
    <w:rsid w:val="00C62E83"/>
    <w:rsid w:val="00C639D1"/>
    <w:rsid w:val="00C64E90"/>
    <w:rsid w:val="00C65050"/>
    <w:rsid w:val="00C6640D"/>
    <w:rsid w:val="00C668A6"/>
    <w:rsid w:val="00C66B4C"/>
    <w:rsid w:val="00C66D15"/>
    <w:rsid w:val="00C70035"/>
    <w:rsid w:val="00C702E3"/>
    <w:rsid w:val="00C707E2"/>
    <w:rsid w:val="00C711CC"/>
    <w:rsid w:val="00C71A22"/>
    <w:rsid w:val="00C72366"/>
    <w:rsid w:val="00C72386"/>
    <w:rsid w:val="00C725AB"/>
    <w:rsid w:val="00C73333"/>
    <w:rsid w:val="00C73481"/>
    <w:rsid w:val="00C7452C"/>
    <w:rsid w:val="00C7494C"/>
    <w:rsid w:val="00C749AB"/>
    <w:rsid w:val="00C74AB5"/>
    <w:rsid w:val="00C74E8E"/>
    <w:rsid w:val="00C76BC3"/>
    <w:rsid w:val="00C76C0D"/>
    <w:rsid w:val="00C76DD4"/>
    <w:rsid w:val="00C76F2D"/>
    <w:rsid w:val="00C775B0"/>
    <w:rsid w:val="00C77774"/>
    <w:rsid w:val="00C7783F"/>
    <w:rsid w:val="00C8108F"/>
    <w:rsid w:val="00C8223F"/>
    <w:rsid w:val="00C82347"/>
    <w:rsid w:val="00C826D0"/>
    <w:rsid w:val="00C8304F"/>
    <w:rsid w:val="00C84481"/>
    <w:rsid w:val="00C84F43"/>
    <w:rsid w:val="00C855BC"/>
    <w:rsid w:val="00C857E6"/>
    <w:rsid w:val="00C85BE8"/>
    <w:rsid w:val="00C86BCC"/>
    <w:rsid w:val="00C87331"/>
    <w:rsid w:val="00C91AB0"/>
    <w:rsid w:val="00C921D4"/>
    <w:rsid w:val="00C92D7C"/>
    <w:rsid w:val="00C92E28"/>
    <w:rsid w:val="00C95314"/>
    <w:rsid w:val="00C963EF"/>
    <w:rsid w:val="00C96434"/>
    <w:rsid w:val="00C97C0F"/>
    <w:rsid w:val="00CA2D01"/>
    <w:rsid w:val="00CA2E4D"/>
    <w:rsid w:val="00CA3980"/>
    <w:rsid w:val="00CA4739"/>
    <w:rsid w:val="00CA626C"/>
    <w:rsid w:val="00CA65AC"/>
    <w:rsid w:val="00CA77B2"/>
    <w:rsid w:val="00CA7A81"/>
    <w:rsid w:val="00CB11AE"/>
    <w:rsid w:val="00CB213F"/>
    <w:rsid w:val="00CB231E"/>
    <w:rsid w:val="00CB2341"/>
    <w:rsid w:val="00CB2F92"/>
    <w:rsid w:val="00CB3BE0"/>
    <w:rsid w:val="00CB4016"/>
    <w:rsid w:val="00CB4BDC"/>
    <w:rsid w:val="00CB5741"/>
    <w:rsid w:val="00CB61C1"/>
    <w:rsid w:val="00CB7438"/>
    <w:rsid w:val="00CC0A53"/>
    <w:rsid w:val="00CC159C"/>
    <w:rsid w:val="00CC1B96"/>
    <w:rsid w:val="00CC37B5"/>
    <w:rsid w:val="00CC5074"/>
    <w:rsid w:val="00CC5AAF"/>
    <w:rsid w:val="00CC5CC9"/>
    <w:rsid w:val="00CC5F70"/>
    <w:rsid w:val="00CC7D71"/>
    <w:rsid w:val="00CD168F"/>
    <w:rsid w:val="00CD1B41"/>
    <w:rsid w:val="00CD249F"/>
    <w:rsid w:val="00CD318F"/>
    <w:rsid w:val="00CD5176"/>
    <w:rsid w:val="00CD62E6"/>
    <w:rsid w:val="00CE07B7"/>
    <w:rsid w:val="00CE12C1"/>
    <w:rsid w:val="00CE16CE"/>
    <w:rsid w:val="00CE399E"/>
    <w:rsid w:val="00CE43F9"/>
    <w:rsid w:val="00CE5D13"/>
    <w:rsid w:val="00CE6750"/>
    <w:rsid w:val="00CE7AED"/>
    <w:rsid w:val="00CE7FEE"/>
    <w:rsid w:val="00CF0016"/>
    <w:rsid w:val="00CF05D3"/>
    <w:rsid w:val="00CF141B"/>
    <w:rsid w:val="00CF2E03"/>
    <w:rsid w:val="00CF3497"/>
    <w:rsid w:val="00CF3C55"/>
    <w:rsid w:val="00CF5957"/>
    <w:rsid w:val="00CF5D86"/>
    <w:rsid w:val="00CF69C6"/>
    <w:rsid w:val="00CF6EB8"/>
    <w:rsid w:val="00CF6EE4"/>
    <w:rsid w:val="00D011CE"/>
    <w:rsid w:val="00D01A50"/>
    <w:rsid w:val="00D02637"/>
    <w:rsid w:val="00D027EC"/>
    <w:rsid w:val="00D02870"/>
    <w:rsid w:val="00D02B73"/>
    <w:rsid w:val="00D02E0C"/>
    <w:rsid w:val="00D02E31"/>
    <w:rsid w:val="00D0464F"/>
    <w:rsid w:val="00D047BF"/>
    <w:rsid w:val="00D0558D"/>
    <w:rsid w:val="00D07EF0"/>
    <w:rsid w:val="00D07F0E"/>
    <w:rsid w:val="00D12212"/>
    <w:rsid w:val="00D1259D"/>
    <w:rsid w:val="00D13089"/>
    <w:rsid w:val="00D137DC"/>
    <w:rsid w:val="00D13A94"/>
    <w:rsid w:val="00D14418"/>
    <w:rsid w:val="00D1466A"/>
    <w:rsid w:val="00D14714"/>
    <w:rsid w:val="00D15035"/>
    <w:rsid w:val="00D15621"/>
    <w:rsid w:val="00D157E1"/>
    <w:rsid w:val="00D1603E"/>
    <w:rsid w:val="00D1626C"/>
    <w:rsid w:val="00D174B3"/>
    <w:rsid w:val="00D178A0"/>
    <w:rsid w:val="00D17B18"/>
    <w:rsid w:val="00D20355"/>
    <w:rsid w:val="00D20D3A"/>
    <w:rsid w:val="00D20FD7"/>
    <w:rsid w:val="00D233CF"/>
    <w:rsid w:val="00D24E08"/>
    <w:rsid w:val="00D24E72"/>
    <w:rsid w:val="00D26A24"/>
    <w:rsid w:val="00D26C88"/>
    <w:rsid w:val="00D27A95"/>
    <w:rsid w:val="00D31298"/>
    <w:rsid w:val="00D3136F"/>
    <w:rsid w:val="00D31909"/>
    <w:rsid w:val="00D3395B"/>
    <w:rsid w:val="00D347AA"/>
    <w:rsid w:val="00D37163"/>
    <w:rsid w:val="00D37444"/>
    <w:rsid w:val="00D37613"/>
    <w:rsid w:val="00D37DFB"/>
    <w:rsid w:val="00D42B35"/>
    <w:rsid w:val="00D4382F"/>
    <w:rsid w:val="00D457FD"/>
    <w:rsid w:val="00D46786"/>
    <w:rsid w:val="00D47659"/>
    <w:rsid w:val="00D51ED5"/>
    <w:rsid w:val="00D535F7"/>
    <w:rsid w:val="00D549ED"/>
    <w:rsid w:val="00D55D8F"/>
    <w:rsid w:val="00D60068"/>
    <w:rsid w:val="00D6123C"/>
    <w:rsid w:val="00D61D15"/>
    <w:rsid w:val="00D627F7"/>
    <w:rsid w:val="00D63A45"/>
    <w:rsid w:val="00D64175"/>
    <w:rsid w:val="00D66942"/>
    <w:rsid w:val="00D70211"/>
    <w:rsid w:val="00D70893"/>
    <w:rsid w:val="00D75733"/>
    <w:rsid w:val="00D759CB"/>
    <w:rsid w:val="00D7613A"/>
    <w:rsid w:val="00D764B4"/>
    <w:rsid w:val="00D775C1"/>
    <w:rsid w:val="00D7761E"/>
    <w:rsid w:val="00D80077"/>
    <w:rsid w:val="00D803AF"/>
    <w:rsid w:val="00D805D8"/>
    <w:rsid w:val="00D80616"/>
    <w:rsid w:val="00D80FF1"/>
    <w:rsid w:val="00D812A8"/>
    <w:rsid w:val="00D81CF5"/>
    <w:rsid w:val="00D8276B"/>
    <w:rsid w:val="00D82A9A"/>
    <w:rsid w:val="00D82FE5"/>
    <w:rsid w:val="00D83FF7"/>
    <w:rsid w:val="00D8473D"/>
    <w:rsid w:val="00D87B92"/>
    <w:rsid w:val="00D91D3F"/>
    <w:rsid w:val="00D92009"/>
    <w:rsid w:val="00D96307"/>
    <w:rsid w:val="00D96A30"/>
    <w:rsid w:val="00D96CFE"/>
    <w:rsid w:val="00D97464"/>
    <w:rsid w:val="00D97C63"/>
    <w:rsid w:val="00DA14D5"/>
    <w:rsid w:val="00DA2B3D"/>
    <w:rsid w:val="00DA2D87"/>
    <w:rsid w:val="00DA300E"/>
    <w:rsid w:val="00DA4353"/>
    <w:rsid w:val="00DA5B44"/>
    <w:rsid w:val="00DA65F6"/>
    <w:rsid w:val="00DB0D4E"/>
    <w:rsid w:val="00DB17B4"/>
    <w:rsid w:val="00DB1ECA"/>
    <w:rsid w:val="00DB327F"/>
    <w:rsid w:val="00DB390A"/>
    <w:rsid w:val="00DB6911"/>
    <w:rsid w:val="00DC0A87"/>
    <w:rsid w:val="00DC0C78"/>
    <w:rsid w:val="00DC1A91"/>
    <w:rsid w:val="00DC1C23"/>
    <w:rsid w:val="00DC26D4"/>
    <w:rsid w:val="00DC3102"/>
    <w:rsid w:val="00DC4BC7"/>
    <w:rsid w:val="00DC4C80"/>
    <w:rsid w:val="00DC5E87"/>
    <w:rsid w:val="00DD0162"/>
    <w:rsid w:val="00DD027C"/>
    <w:rsid w:val="00DD1431"/>
    <w:rsid w:val="00DD2941"/>
    <w:rsid w:val="00DD3068"/>
    <w:rsid w:val="00DD39EB"/>
    <w:rsid w:val="00DD434A"/>
    <w:rsid w:val="00DD43CA"/>
    <w:rsid w:val="00DD47BF"/>
    <w:rsid w:val="00DD4E39"/>
    <w:rsid w:val="00DD4EC5"/>
    <w:rsid w:val="00DD5D7E"/>
    <w:rsid w:val="00DD65A7"/>
    <w:rsid w:val="00DD70B8"/>
    <w:rsid w:val="00DE0673"/>
    <w:rsid w:val="00DE17FC"/>
    <w:rsid w:val="00DE2A89"/>
    <w:rsid w:val="00DE2B8C"/>
    <w:rsid w:val="00DE4916"/>
    <w:rsid w:val="00DE511E"/>
    <w:rsid w:val="00DE5AC2"/>
    <w:rsid w:val="00DE6380"/>
    <w:rsid w:val="00DE6906"/>
    <w:rsid w:val="00DE6B77"/>
    <w:rsid w:val="00DE6B9B"/>
    <w:rsid w:val="00DE71E8"/>
    <w:rsid w:val="00DE727A"/>
    <w:rsid w:val="00DE794B"/>
    <w:rsid w:val="00DF59D0"/>
    <w:rsid w:val="00DF701B"/>
    <w:rsid w:val="00E017C6"/>
    <w:rsid w:val="00E03F00"/>
    <w:rsid w:val="00E04154"/>
    <w:rsid w:val="00E0427C"/>
    <w:rsid w:val="00E04D41"/>
    <w:rsid w:val="00E07177"/>
    <w:rsid w:val="00E07356"/>
    <w:rsid w:val="00E10AB5"/>
    <w:rsid w:val="00E116A5"/>
    <w:rsid w:val="00E11902"/>
    <w:rsid w:val="00E122AB"/>
    <w:rsid w:val="00E13612"/>
    <w:rsid w:val="00E14844"/>
    <w:rsid w:val="00E14A2E"/>
    <w:rsid w:val="00E159AD"/>
    <w:rsid w:val="00E15A71"/>
    <w:rsid w:val="00E161C0"/>
    <w:rsid w:val="00E179DF"/>
    <w:rsid w:val="00E202D9"/>
    <w:rsid w:val="00E20346"/>
    <w:rsid w:val="00E22027"/>
    <w:rsid w:val="00E238B1"/>
    <w:rsid w:val="00E23DBF"/>
    <w:rsid w:val="00E24B7E"/>
    <w:rsid w:val="00E26C21"/>
    <w:rsid w:val="00E27A8D"/>
    <w:rsid w:val="00E30B1B"/>
    <w:rsid w:val="00E30E21"/>
    <w:rsid w:val="00E323D7"/>
    <w:rsid w:val="00E32A47"/>
    <w:rsid w:val="00E32AC2"/>
    <w:rsid w:val="00E32D01"/>
    <w:rsid w:val="00E353FF"/>
    <w:rsid w:val="00E358DC"/>
    <w:rsid w:val="00E35CBB"/>
    <w:rsid w:val="00E3647A"/>
    <w:rsid w:val="00E366E1"/>
    <w:rsid w:val="00E37979"/>
    <w:rsid w:val="00E41107"/>
    <w:rsid w:val="00E425DD"/>
    <w:rsid w:val="00E4335C"/>
    <w:rsid w:val="00E437A5"/>
    <w:rsid w:val="00E439CE"/>
    <w:rsid w:val="00E44276"/>
    <w:rsid w:val="00E448DD"/>
    <w:rsid w:val="00E44E4F"/>
    <w:rsid w:val="00E45878"/>
    <w:rsid w:val="00E45BCD"/>
    <w:rsid w:val="00E463DF"/>
    <w:rsid w:val="00E467DC"/>
    <w:rsid w:val="00E5270D"/>
    <w:rsid w:val="00E52A34"/>
    <w:rsid w:val="00E52C45"/>
    <w:rsid w:val="00E560CF"/>
    <w:rsid w:val="00E567C2"/>
    <w:rsid w:val="00E57CEC"/>
    <w:rsid w:val="00E613D5"/>
    <w:rsid w:val="00E62AAD"/>
    <w:rsid w:val="00E6612B"/>
    <w:rsid w:val="00E6677B"/>
    <w:rsid w:val="00E668BB"/>
    <w:rsid w:val="00E6781A"/>
    <w:rsid w:val="00E70220"/>
    <w:rsid w:val="00E7089B"/>
    <w:rsid w:val="00E72258"/>
    <w:rsid w:val="00E74A0F"/>
    <w:rsid w:val="00E753B9"/>
    <w:rsid w:val="00E75527"/>
    <w:rsid w:val="00E75562"/>
    <w:rsid w:val="00E75E99"/>
    <w:rsid w:val="00E766F8"/>
    <w:rsid w:val="00E76916"/>
    <w:rsid w:val="00E77156"/>
    <w:rsid w:val="00E800E2"/>
    <w:rsid w:val="00E80CEE"/>
    <w:rsid w:val="00E823D6"/>
    <w:rsid w:val="00E85163"/>
    <w:rsid w:val="00E85DC1"/>
    <w:rsid w:val="00E86E63"/>
    <w:rsid w:val="00E9084D"/>
    <w:rsid w:val="00E915BF"/>
    <w:rsid w:val="00E916E7"/>
    <w:rsid w:val="00E923F8"/>
    <w:rsid w:val="00E92B0F"/>
    <w:rsid w:val="00E9318D"/>
    <w:rsid w:val="00E94706"/>
    <w:rsid w:val="00E96284"/>
    <w:rsid w:val="00E963AB"/>
    <w:rsid w:val="00E97416"/>
    <w:rsid w:val="00E97BCE"/>
    <w:rsid w:val="00EA315D"/>
    <w:rsid w:val="00EA3BBC"/>
    <w:rsid w:val="00EA3F00"/>
    <w:rsid w:val="00EA5C2D"/>
    <w:rsid w:val="00EA664F"/>
    <w:rsid w:val="00EA767B"/>
    <w:rsid w:val="00EB050F"/>
    <w:rsid w:val="00EB15EB"/>
    <w:rsid w:val="00EB1C77"/>
    <w:rsid w:val="00EB3505"/>
    <w:rsid w:val="00EB5BB2"/>
    <w:rsid w:val="00EB660A"/>
    <w:rsid w:val="00EC0702"/>
    <w:rsid w:val="00EC0AAC"/>
    <w:rsid w:val="00EC10D4"/>
    <w:rsid w:val="00EC20CC"/>
    <w:rsid w:val="00EC23D5"/>
    <w:rsid w:val="00EC3D63"/>
    <w:rsid w:val="00EC4605"/>
    <w:rsid w:val="00EC49C0"/>
    <w:rsid w:val="00EC765B"/>
    <w:rsid w:val="00EC7C86"/>
    <w:rsid w:val="00ED0999"/>
    <w:rsid w:val="00ED1892"/>
    <w:rsid w:val="00ED2C60"/>
    <w:rsid w:val="00ED2E62"/>
    <w:rsid w:val="00ED2E95"/>
    <w:rsid w:val="00ED39FD"/>
    <w:rsid w:val="00ED40F6"/>
    <w:rsid w:val="00ED48C3"/>
    <w:rsid w:val="00ED4C9F"/>
    <w:rsid w:val="00ED6005"/>
    <w:rsid w:val="00ED6037"/>
    <w:rsid w:val="00ED626D"/>
    <w:rsid w:val="00ED7851"/>
    <w:rsid w:val="00ED7890"/>
    <w:rsid w:val="00EE08C2"/>
    <w:rsid w:val="00EE0DF6"/>
    <w:rsid w:val="00EE1481"/>
    <w:rsid w:val="00EE16ED"/>
    <w:rsid w:val="00EE22A6"/>
    <w:rsid w:val="00EE2557"/>
    <w:rsid w:val="00EE2E6C"/>
    <w:rsid w:val="00EE38A1"/>
    <w:rsid w:val="00EE3C22"/>
    <w:rsid w:val="00EE4604"/>
    <w:rsid w:val="00EE466E"/>
    <w:rsid w:val="00EE6102"/>
    <w:rsid w:val="00EE62E9"/>
    <w:rsid w:val="00EE66DD"/>
    <w:rsid w:val="00EE6C56"/>
    <w:rsid w:val="00EE7DCF"/>
    <w:rsid w:val="00EF12D2"/>
    <w:rsid w:val="00EF1780"/>
    <w:rsid w:val="00EF1B58"/>
    <w:rsid w:val="00EF1E02"/>
    <w:rsid w:val="00EF315F"/>
    <w:rsid w:val="00EF3489"/>
    <w:rsid w:val="00EF3734"/>
    <w:rsid w:val="00EF388F"/>
    <w:rsid w:val="00EF3C7D"/>
    <w:rsid w:val="00EF5695"/>
    <w:rsid w:val="00EF6838"/>
    <w:rsid w:val="00EF6A17"/>
    <w:rsid w:val="00EF79F0"/>
    <w:rsid w:val="00F02CAA"/>
    <w:rsid w:val="00F03321"/>
    <w:rsid w:val="00F038B9"/>
    <w:rsid w:val="00F03A6E"/>
    <w:rsid w:val="00F04422"/>
    <w:rsid w:val="00F04AAF"/>
    <w:rsid w:val="00F04E91"/>
    <w:rsid w:val="00F056B3"/>
    <w:rsid w:val="00F061E0"/>
    <w:rsid w:val="00F07B2A"/>
    <w:rsid w:val="00F10A12"/>
    <w:rsid w:val="00F11DEE"/>
    <w:rsid w:val="00F136DF"/>
    <w:rsid w:val="00F13D2C"/>
    <w:rsid w:val="00F15205"/>
    <w:rsid w:val="00F1547B"/>
    <w:rsid w:val="00F16381"/>
    <w:rsid w:val="00F16ED9"/>
    <w:rsid w:val="00F20111"/>
    <w:rsid w:val="00F20560"/>
    <w:rsid w:val="00F22002"/>
    <w:rsid w:val="00F221FB"/>
    <w:rsid w:val="00F2306A"/>
    <w:rsid w:val="00F23888"/>
    <w:rsid w:val="00F259B0"/>
    <w:rsid w:val="00F26AB2"/>
    <w:rsid w:val="00F30B26"/>
    <w:rsid w:val="00F31CD7"/>
    <w:rsid w:val="00F321B1"/>
    <w:rsid w:val="00F33A18"/>
    <w:rsid w:val="00F3485F"/>
    <w:rsid w:val="00F357E1"/>
    <w:rsid w:val="00F35BE2"/>
    <w:rsid w:val="00F40C85"/>
    <w:rsid w:val="00F41732"/>
    <w:rsid w:val="00F41AB1"/>
    <w:rsid w:val="00F41ADB"/>
    <w:rsid w:val="00F41B38"/>
    <w:rsid w:val="00F42DC9"/>
    <w:rsid w:val="00F43118"/>
    <w:rsid w:val="00F4375D"/>
    <w:rsid w:val="00F44703"/>
    <w:rsid w:val="00F44BA5"/>
    <w:rsid w:val="00F450D4"/>
    <w:rsid w:val="00F4637E"/>
    <w:rsid w:val="00F46AE9"/>
    <w:rsid w:val="00F472BC"/>
    <w:rsid w:val="00F50499"/>
    <w:rsid w:val="00F511ED"/>
    <w:rsid w:val="00F53BB0"/>
    <w:rsid w:val="00F548BA"/>
    <w:rsid w:val="00F5512C"/>
    <w:rsid w:val="00F55F1D"/>
    <w:rsid w:val="00F57205"/>
    <w:rsid w:val="00F612D8"/>
    <w:rsid w:val="00F623E1"/>
    <w:rsid w:val="00F64498"/>
    <w:rsid w:val="00F66590"/>
    <w:rsid w:val="00F66AAD"/>
    <w:rsid w:val="00F6764A"/>
    <w:rsid w:val="00F67CCA"/>
    <w:rsid w:val="00F7023B"/>
    <w:rsid w:val="00F7308B"/>
    <w:rsid w:val="00F73432"/>
    <w:rsid w:val="00F743FA"/>
    <w:rsid w:val="00F76165"/>
    <w:rsid w:val="00F768AB"/>
    <w:rsid w:val="00F768B0"/>
    <w:rsid w:val="00F77456"/>
    <w:rsid w:val="00F808D6"/>
    <w:rsid w:val="00F813FA"/>
    <w:rsid w:val="00F81851"/>
    <w:rsid w:val="00F81B42"/>
    <w:rsid w:val="00F81D0C"/>
    <w:rsid w:val="00F82C61"/>
    <w:rsid w:val="00F8310F"/>
    <w:rsid w:val="00F835B6"/>
    <w:rsid w:val="00F8399F"/>
    <w:rsid w:val="00F84205"/>
    <w:rsid w:val="00F84A9A"/>
    <w:rsid w:val="00F85E28"/>
    <w:rsid w:val="00F86017"/>
    <w:rsid w:val="00F87298"/>
    <w:rsid w:val="00F875D7"/>
    <w:rsid w:val="00F87BB6"/>
    <w:rsid w:val="00F906FE"/>
    <w:rsid w:val="00F90723"/>
    <w:rsid w:val="00F908EA"/>
    <w:rsid w:val="00F91141"/>
    <w:rsid w:val="00F91479"/>
    <w:rsid w:val="00F916C2"/>
    <w:rsid w:val="00F92854"/>
    <w:rsid w:val="00F93D6B"/>
    <w:rsid w:val="00F93F7A"/>
    <w:rsid w:val="00F94BFB"/>
    <w:rsid w:val="00F957E1"/>
    <w:rsid w:val="00F95F7D"/>
    <w:rsid w:val="00F96004"/>
    <w:rsid w:val="00F96083"/>
    <w:rsid w:val="00FA01E4"/>
    <w:rsid w:val="00FA041D"/>
    <w:rsid w:val="00FA059E"/>
    <w:rsid w:val="00FA1146"/>
    <w:rsid w:val="00FA26D5"/>
    <w:rsid w:val="00FA285B"/>
    <w:rsid w:val="00FA4738"/>
    <w:rsid w:val="00FA539F"/>
    <w:rsid w:val="00FA5667"/>
    <w:rsid w:val="00FA5690"/>
    <w:rsid w:val="00FA6D49"/>
    <w:rsid w:val="00FA7E55"/>
    <w:rsid w:val="00FB0938"/>
    <w:rsid w:val="00FB094B"/>
    <w:rsid w:val="00FB21D4"/>
    <w:rsid w:val="00FB2450"/>
    <w:rsid w:val="00FB25FB"/>
    <w:rsid w:val="00FB3F46"/>
    <w:rsid w:val="00FB5287"/>
    <w:rsid w:val="00FB767E"/>
    <w:rsid w:val="00FB7B48"/>
    <w:rsid w:val="00FC051B"/>
    <w:rsid w:val="00FC143B"/>
    <w:rsid w:val="00FC1798"/>
    <w:rsid w:val="00FC25DE"/>
    <w:rsid w:val="00FC2F5D"/>
    <w:rsid w:val="00FC3578"/>
    <w:rsid w:val="00FC4188"/>
    <w:rsid w:val="00FC56B0"/>
    <w:rsid w:val="00FC58AC"/>
    <w:rsid w:val="00FC60AA"/>
    <w:rsid w:val="00FC6122"/>
    <w:rsid w:val="00FC644F"/>
    <w:rsid w:val="00FC6591"/>
    <w:rsid w:val="00FC6912"/>
    <w:rsid w:val="00FC7DA6"/>
    <w:rsid w:val="00FD021C"/>
    <w:rsid w:val="00FD02F1"/>
    <w:rsid w:val="00FD1275"/>
    <w:rsid w:val="00FD2585"/>
    <w:rsid w:val="00FD266A"/>
    <w:rsid w:val="00FD3172"/>
    <w:rsid w:val="00FD42B4"/>
    <w:rsid w:val="00FD4616"/>
    <w:rsid w:val="00FD5250"/>
    <w:rsid w:val="00FD70FA"/>
    <w:rsid w:val="00FD75A0"/>
    <w:rsid w:val="00FE0528"/>
    <w:rsid w:val="00FE1540"/>
    <w:rsid w:val="00FE1727"/>
    <w:rsid w:val="00FE1865"/>
    <w:rsid w:val="00FE1F47"/>
    <w:rsid w:val="00FE3635"/>
    <w:rsid w:val="00FE5178"/>
    <w:rsid w:val="00FE5E38"/>
    <w:rsid w:val="00FE6430"/>
    <w:rsid w:val="00FE742A"/>
    <w:rsid w:val="00FF1370"/>
    <w:rsid w:val="00FF1539"/>
    <w:rsid w:val="00FF1A52"/>
    <w:rsid w:val="00FF2943"/>
    <w:rsid w:val="00FF298D"/>
    <w:rsid w:val="00FF42A8"/>
    <w:rsid w:val="00FF466C"/>
    <w:rsid w:val="00FF5256"/>
    <w:rsid w:val="00FF5D12"/>
    <w:rsid w:val="00FF6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semiHidden/>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5602E92-3760-4BEE-8747-B889818E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19</Pages>
  <Words>22660</Words>
  <Characters>129167</Characters>
  <Application>Microsoft Office Word</Application>
  <DocSecurity>0</DocSecurity>
  <Lines>1076</Lines>
  <Paragraphs>303</Paragraphs>
  <ScaleCrop>false</ScaleCrop>
  <Company/>
  <LinksUpToDate>false</LinksUpToDate>
  <CharactersWithSpaces>151524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1650</cp:revision>
  <dcterms:created xsi:type="dcterms:W3CDTF">2019-11-19T18:30:00Z</dcterms:created>
  <dcterms:modified xsi:type="dcterms:W3CDTF">2020-01-17T00:55:00Z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zotero-version="5.0.81"&gt;&lt;session id="tBawDx6K"/&gt;&lt;style id="http://www.zotero.org/styles/american-political-science-association" locale="en-GB" hasBibliography="1" bibliographyStyleHasBeenSet="1"/&gt;&lt;prefs&gt;&lt;pref name="fieldType" value=</vt:lpwstr>
  </property>
</Properties>
</file>